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683"/>
        <w:tblpPr w:horzAnchor="margin" w:tblpXSpec="left" w:vertAnchor="text" w:tblpY="-166" w:leftFromText="180" w:topFromText="0" w:rightFromText="180" w:bottomFromText="0"/>
        <w:tblW w:w="9464" w:type="dxa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2244"/>
        <w:gridCol w:w="2859"/>
      </w:tblGrid>
      <w:tr>
        <w:trPr>
          <w:trHeight w:val="2097"/>
        </w:trPr>
        <w:tc>
          <w:tcPr>
            <w:tcW w:w="4361" w:type="dxa"/>
            <w:textDirection w:val="lrTb"/>
            <w:noWrap w:val="false"/>
          </w:tcPr>
          <w:p>
            <w:pPr>
              <w:tabs>
                <w:tab w:val="left" w:pos="5954" w:leader="none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667456" behindDoc="1" locked="0" layoutInCell="1" allowOverlap="1">
                      <wp:simplePos x="0" y="0"/>
                      <wp:positionH relativeFrom="column">
                        <wp:posOffset>158115</wp:posOffset>
                      </wp:positionH>
                      <wp:positionV relativeFrom="paragraph">
                        <wp:posOffset>78740</wp:posOffset>
                      </wp:positionV>
                      <wp:extent cx="2457450" cy="1095375"/>
                      <wp:effectExtent l="0" t="0" r="0" b="0"/>
                      <wp:wrapNone/>
                      <wp:docPr id="1" name="Рисунок 7" descr="Описание: горы34" hidden="false"/>
                      <wp:cNvGraphicFramePr>
                        <a:graphicFrameLocks xmlns:a="http://schemas.openxmlformats.org/drawingml/2006/main" noChangeAspect="true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Рисунок 6" descr="Описание: горы34" hidden="0"/>
                              <pic:cNvPicPr>
                                <a:picLocks noChangeAspect="1"/>
                              </pic:cNvPicPr>
                              <pic:nvPr isPhoto="0" userDrawn="0"/>
                            </pic:nvPicPr>
                            <pic:blipFill>
                              <a:blip r:embed="rId12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457450" cy="109537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position:absolute;mso-wrap-distance-left:9.0pt;mso-wrap-distance-top:0.0pt;mso-wrap-distance-right:9.0pt;mso-wrap-distance-bottom:0.0pt;z-index:-251667456;o:allowoverlap:true;o:allowincell:true;mso-position-horizontal-relative:text;margin-left:12.4pt;mso-position-horizontal:absolute;mso-position-vertical-relative:text;margin-top:6.2pt;mso-position-vertical:absolute;width:193.5pt;height:86.2pt;" stroked="false">
                      <v:path textboxrect="0,0,0,0"/>
                      <v:imagedata r:id="rId12" o:title=""/>
                    </v:shape>
                  </w:pict>
                </mc:Fallback>
              </mc:AlternateContent>
            </w:r>
            <w:r/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  <w:p>
            <w:pPr>
              <w:tabs>
                <w:tab w:val="left" w:pos="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W w:w="2244" w:type="dxa"/>
            <w:vAlign w:val="center"/>
            <w:textDirection w:val="lrTb"/>
            <w:noWrap w:val="false"/>
          </w:tcPr>
          <w:p>
            <w:pPr>
              <w:pStyle w:val="691"/>
              <w:ind w:firstLine="34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W w:w="2859" w:type="dxa"/>
            <w:vAlign w:val="center"/>
            <w:textDirection w:val="lrTb"/>
            <w:noWrap w:val="false"/>
          </w:tcPr>
          <w:p>
            <w:pPr>
              <w:pStyle w:val="691"/>
              <w:ind w:firstLine="34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</w:tr>
    </w:tbl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</w:r>
      <w:r/>
    </w:p>
    <w:p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</w:r>
      <w:r/>
    </w:p>
    <w:p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</w:r>
      <w:r/>
    </w:p>
    <w:p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АНАЛИТИЧЕСКИЙ ОТЧЕТ</w:t>
      </w:r>
      <w:r/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/>
    </w:p>
    <w:p>
      <w:pPr>
        <w:ind w:left="709"/>
        <w:jc w:val="both"/>
        <w:widowControl w:val="off"/>
        <w:tabs>
          <w:tab w:val="left" w:pos="0" w:leader="none"/>
        </w:tabs>
        <w:rPr>
          <w:bCs/>
          <w:spacing w:val="-7"/>
          <w:sz w:val="28"/>
          <w:szCs w:val="28"/>
        </w:rPr>
      </w:pPr>
      <w:r>
        <w:rPr>
          <w:sz w:val="28"/>
          <w:szCs w:val="28"/>
        </w:rPr>
        <w:t xml:space="preserve">о качестве условий </w:t>
      </w:r>
      <w:r>
        <w:rPr>
          <w:bCs/>
          <w:sz w:val="28"/>
          <w:szCs w:val="28"/>
        </w:rPr>
        <w:t xml:space="preserve">осуществления образовательной деятельности </w:t>
      </w:r>
      <w:r/>
    </w:p>
    <w:p>
      <w:pPr>
        <w:jc w:val="center"/>
        <w:spacing w:lineRule="auto" w:line="276"/>
      </w:pPr>
      <w:r>
        <w:rPr>
          <w:sz w:val="28"/>
          <w:szCs w:val="28"/>
          <w:shd w:val="clear" w:fill="FFFFFF" w:themeFill="background1" w:color="auto"/>
        </w:rPr>
        <w:t xml:space="preserve">МБОУ «СОШ с. Новый-Шарой» Ачхой-Мартановского</w:t>
      </w:r>
      <w:r>
        <w:rPr>
          <w:shd w:val="clear" w:fill="FFFFFF" w:themeFill="background1" w:color="auto"/>
        </w:rPr>
        <w:t xml:space="preserve"> </w:t>
      </w:r>
      <w:r>
        <w:rPr>
          <w:sz w:val="28"/>
          <w:szCs w:val="28"/>
          <w:shd w:val="clear" w:fill="FFFFFF" w:themeFill="background1" w:color="auto"/>
        </w:rPr>
        <w:t xml:space="preserve">муниципального района </w:t>
      </w:r>
      <w:r>
        <w:rPr>
          <w:sz w:val="28"/>
          <w:szCs w:val="28"/>
        </w:rPr>
        <w:t xml:space="preserve">в соответствии с показателями, характеризующими общие критерии оценки качества </w:t>
      </w:r>
      <w:r>
        <w:rPr>
          <w:bCs/>
          <w:sz w:val="28"/>
          <w:szCs w:val="28"/>
        </w:rPr>
        <w:t xml:space="preserve">условий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осуществления образовательной деятельности </w:t>
      </w:r>
      <w:r>
        <w:rPr>
          <w:sz w:val="28"/>
          <w:szCs w:val="28"/>
        </w:rPr>
        <w:t xml:space="preserve">образовательными организациями, в отношении которых проводится независимая оценка</w:t>
      </w:r>
      <w:r/>
    </w:p>
    <w:p>
      <w:pPr>
        <w:jc w:val="center"/>
        <w:spacing w:lineRule="auto" w:line="276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left="709"/>
        <w:jc w:val="both"/>
        <w:widowControl w:val="off"/>
        <w:tabs>
          <w:tab w:val="left" w:pos="0" w:leader="none"/>
        </w:tabs>
        <w:rPr>
          <w:bCs/>
          <w:spacing w:val="-7"/>
          <w:sz w:val="28"/>
          <w:szCs w:val="28"/>
        </w:rPr>
      </w:pPr>
      <w:r>
        <w:rPr>
          <w:bCs/>
          <w:spacing w:val="-7"/>
          <w:sz w:val="28"/>
          <w:szCs w:val="28"/>
        </w:rPr>
      </w:r>
      <w:r/>
    </w:p>
    <w:p>
      <w:pPr>
        <w:ind w:left="709"/>
        <w:jc w:val="both"/>
        <w:shd w:val="clear" w:fill="FFFFFF" w:color="auto"/>
        <w:widowControl w:val="off"/>
        <w:tabs>
          <w:tab w:val="left" w:pos="0" w:leader="none"/>
        </w:tabs>
        <w:rPr>
          <w:bCs/>
          <w:spacing w:val="-7"/>
          <w:sz w:val="28"/>
          <w:szCs w:val="28"/>
          <w:highlight w:val="yellow"/>
        </w:rPr>
      </w:pPr>
      <w:r>
        <w:rPr>
          <w:bCs/>
          <w:spacing w:val="-7"/>
          <w:sz w:val="28"/>
          <w:szCs w:val="28"/>
          <w:highlight w:val="yellow"/>
        </w:rPr>
      </w:r>
      <w:r/>
    </w:p>
    <w:p>
      <w:pPr>
        <w:ind w:left="709"/>
        <w:jc w:val="both"/>
        <w:shd w:val="clear" w:fill="FFFFFF" w:color="auto"/>
        <w:widowControl w:val="off"/>
        <w:tabs>
          <w:tab w:val="left" w:pos="0" w:leader="none"/>
        </w:tabs>
        <w:rPr>
          <w:bCs/>
          <w:spacing w:val="-7"/>
          <w:sz w:val="28"/>
          <w:szCs w:val="28"/>
          <w:highlight w:val="yellow"/>
        </w:rPr>
      </w:pPr>
      <w:r>
        <w:rPr>
          <w:bCs/>
          <w:spacing w:val="-7"/>
          <w:sz w:val="28"/>
          <w:szCs w:val="28"/>
          <w:highlight w:val="yellow"/>
        </w:rPr>
      </w:r>
      <w:r/>
    </w:p>
    <w:p>
      <w:pPr>
        <w:ind w:left="709"/>
        <w:jc w:val="both"/>
        <w:shd w:val="clear" w:fill="FFFFFF" w:color="auto"/>
        <w:widowControl w:val="off"/>
        <w:tabs>
          <w:tab w:val="left" w:pos="0" w:leader="none"/>
        </w:tabs>
        <w:rPr>
          <w:bCs/>
          <w:spacing w:val="-7"/>
          <w:sz w:val="28"/>
          <w:szCs w:val="28"/>
          <w:highlight w:val="yellow"/>
        </w:rPr>
      </w:pPr>
      <w:r>
        <w:rPr>
          <w:bCs/>
          <w:spacing w:val="-7"/>
          <w:sz w:val="28"/>
          <w:szCs w:val="28"/>
          <w:highlight w:val="yellow"/>
        </w:rPr>
      </w:r>
      <w:r/>
    </w:p>
    <w:p>
      <w:pPr>
        <w:ind w:left="709"/>
        <w:jc w:val="both"/>
        <w:shd w:val="clear" w:fill="FFFFFF" w:color="auto"/>
        <w:widowControl w:val="off"/>
        <w:tabs>
          <w:tab w:val="left" w:pos="0" w:leader="none"/>
        </w:tabs>
        <w:rPr>
          <w:bCs/>
          <w:spacing w:val="-7"/>
          <w:sz w:val="28"/>
          <w:szCs w:val="28"/>
          <w:highlight w:val="yellow"/>
        </w:rPr>
      </w:pPr>
      <w:r>
        <w:rPr>
          <w:bCs/>
          <w:spacing w:val="-7"/>
          <w:sz w:val="28"/>
          <w:szCs w:val="28"/>
          <w:highlight w:val="yellow"/>
        </w:rPr>
      </w:r>
      <w:r/>
    </w:p>
    <w:p>
      <w:pPr>
        <w:ind w:left="709"/>
        <w:jc w:val="both"/>
        <w:shd w:val="clear" w:fill="FFFFFF" w:color="auto"/>
        <w:widowControl w:val="off"/>
        <w:tabs>
          <w:tab w:val="left" w:pos="0" w:leader="none"/>
        </w:tabs>
        <w:rPr>
          <w:bCs/>
          <w:spacing w:val="-7"/>
          <w:sz w:val="28"/>
          <w:szCs w:val="28"/>
          <w:highlight w:val="yellow"/>
        </w:rPr>
      </w:pPr>
      <w:r>
        <w:rPr>
          <w:bCs/>
          <w:spacing w:val="-7"/>
          <w:sz w:val="28"/>
          <w:szCs w:val="28"/>
          <w:highlight w:val="yellow"/>
        </w:rPr>
      </w:r>
      <w:r/>
    </w:p>
    <w:p>
      <w:pPr>
        <w:ind w:left="709"/>
        <w:jc w:val="both"/>
        <w:shd w:val="clear" w:fill="FFFFFF" w:color="auto"/>
        <w:widowControl w:val="off"/>
        <w:tabs>
          <w:tab w:val="left" w:pos="0" w:leader="none"/>
        </w:tabs>
        <w:rPr>
          <w:bCs/>
          <w:spacing w:val="-7"/>
          <w:sz w:val="28"/>
          <w:szCs w:val="28"/>
          <w:highlight w:val="yellow"/>
        </w:rPr>
      </w:pPr>
      <w:r>
        <w:rPr>
          <w:bCs/>
          <w:spacing w:val="-7"/>
          <w:sz w:val="28"/>
          <w:szCs w:val="28"/>
          <w:highlight w:val="yellow"/>
        </w:rPr>
      </w:r>
      <w:r/>
    </w:p>
    <w:p>
      <w:pPr>
        <w:ind w:left="709"/>
        <w:jc w:val="both"/>
        <w:shd w:val="clear" w:fill="FFFFFF" w:color="auto"/>
        <w:widowControl w:val="off"/>
        <w:tabs>
          <w:tab w:val="left" w:pos="0" w:leader="none"/>
        </w:tabs>
        <w:rPr>
          <w:bCs/>
          <w:spacing w:val="-7"/>
          <w:sz w:val="28"/>
          <w:szCs w:val="28"/>
          <w:highlight w:val="yellow"/>
        </w:rPr>
      </w:pPr>
      <w:r>
        <w:rPr>
          <w:bCs/>
          <w:spacing w:val="-7"/>
          <w:sz w:val="28"/>
          <w:szCs w:val="28"/>
          <w:highlight w:val="yellow"/>
        </w:rPr>
      </w:r>
      <w:r/>
    </w:p>
    <w:p>
      <w:pPr>
        <w:ind w:left="709"/>
        <w:jc w:val="both"/>
        <w:shd w:val="clear" w:fill="FFFFFF" w:color="auto"/>
        <w:widowControl w:val="off"/>
        <w:tabs>
          <w:tab w:val="left" w:pos="0" w:leader="none"/>
        </w:tabs>
        <w:rPr>
          <w:bCs/>
          <w:spacing w:val="-7"/>
          <w:sz w:val="28"/>
          <w:szCs w:val="28"/>
          <w:highlight w:val="yellow"/>
        </w:rPr>
      </w:pPr>
      <w:r>
        <w:rPr>
          <w:bCs/>
          <w:spacing w:val="-7"/>
          <w:sz w:val="28"/>
          <w:szCs w:val="28"/>
          <w:highlight w:val="yellow"/>
        </w:rPr>
      </w:r>
      <w:r/>
    </w:p>
    <w:p>
      <w:pPr>
        <w:ind w:left="709"/>
        <w:jc w:val="both"/>
        <w:shd w:val="clear" w:fill="FFFFFF" w:color="auto"/>
        <w:widowControl w:val="off"/>
        <w:tabs>
          <w:tab w:val="left" w:pos="0" w:leader="none"/>
        </w:tabs>
        <w:rPr>
          <w:bCs/>
          <w:spacing w:val="-7"/>
          <w:sz w:val="28"/>
          <w:szCs w:val="28"/>
          <w:highlight w:val="yellow"/>
        </w:rPr>
      </w:pPr>
      <w:r>
        <w:rPr>
          <w:bCs/>
          <w:spacing w:val="-7"/>
          <w:sz w:val="28"/>
          <w:szCs w:val="28"/>
          <w:highlight w:val="yellow"/>
        </w:rPr>
      </w:r>
      <w:r/>
    </w:p>
    <w:p>
      <w:pPr>
        <w:ind w:left="709"/>
        <w:jc w:val="both"/>
        <w:shd w:val="clear" w:fill="FFFFFF" w:color="auto"/>
        <w:widowControl w:val="off"/>
        <w:tabs>
          <w:tab w:val="left" w:pos="0" w:leader="none"/>
        </w:tabs>
        <w:rPr>
          <w:bCs/>
          <w:spacing w:val="-7"/>
          <w:sz w:val="28"/>
          <w:szCs w:val="28"/>
          <w:highlight w:val="yellow"/>
        </w:rPr>
      </w:pPr>
      <w:r>
        <w:rPr>
          <w:bCs/>
          <w:spacing w:val="-7"/>
          <w:sz w:val="28"/>
          <w:szCs w:val="28"/>
          <w:highlight w:val="yellow"/>
        </w:rPr>
      </w:r>
      <w:r/>
    </w:p>
    <w:p>
      <w:pPr>
        <w:ind w:left="709"/>
        <w:jc w:val="both"/>
        <w:shd w:val="clear" w:fill="FFFFFF" w:color="auto"/>
        <w:widowControl w:val="off"/>
        <w:tabs>
          <w:tab w:val="left" w:pos="0" w:leader="none"/>
        </w:tabs>
        <w:rPr>
          <w:bCs/>
          <w:spacing w:val="-7"/>
          <w:sz w:val="28"/>
          <w:szCs w:val="28"/>
          <w:highlight w:val="yellow"/>
        </w:rPr>
      </w:pPr>
      <w:r>
        <w:rPr>
          <w:bCs/>
          <w:spacing w:val="-7"/>
          <w:sz w:val="28"/>
          <w:szCs w:val="28"/>
          <w:highlight w:val="yellow"/>
        </w:rPr>
      </w:r>
      <w:r/>
    </w:p>
    <w:p>
      <w:pPr>
        <w:ind w:left="709"/>
        <w:jc w:val="both"/>
        <w:shd w:val="clear" w:fill="FFFFFF" w:color="auto"/>
        <w:widowControl w:val="off"/>
        <w:tabs>
          <w:tab w:val="left" w:pos="0" w:leader="none"/>
        </w:tabs>
        <w:rPr>
          <w:bCs/>
          <w:spacing w:val="-7"/>
          <w:sz w:val="28"/>
          <w:szCs w:val="28"/>
          <w:highlight w:val="yellow"/>
        </w:rPr>
      </w:pPr>
      <w:r>
        <w:rPr>
          <w:bCs/>
          <w:spacing w:val="-7"/>
          <w:sz w:val="28"/>
          <w:szCs w:val="28"/>
          <w:highlight w:val="yellow"/>
        </w:rPr>
      </w:r>
      <w:r/>
    </w:p>
    <w:p>
      <w:pPr>
        <w:ind w:left="709"/>
        <w:jc w:val="both"/>
        <w:shd w:val="clear" w:fill="FFFFFF" w:color="auto"/>
        <w:widowControl w:val="off"/>
        <w:tabs>
          <w:tab w:val="left" w:pos="0" w:leader="none"/>
        </w:tabs>
        <w:rPr>
          <w:bCs/>
          <w:spacing w:val="-7"/>
          <w:sz w:val="28"/>
          <w:szCs w:val="28"/>
          <w:highlight w:val="yellow"/>
        </w:rPr>
      </w:pPr>
      <w:r>
        <w:rPr>
          <w:bCs/>
          <w:spacing w:val="-7"/>
          <w:sz w:val="28"/>
          <w:szCs w:val="28"/>
          <w:highlight w:val="yellow"/>
        </w:rPr>
      </w:r>
      <w:r/>
    </w:p>
    <w:p>
      <w:pPr>
        <w:ind w:left="709"/>
        <w:jc w:val="both"/>
        <w:shd w:val="clear" w:fill="FFFFFF" w:color="auto"/>
        <w:widowControl w:val="off"/>
        <w:tabs>
          <w:tab w:val="left" w:pos="0" w:leader="none"/>
        </w:tabs>
        <w:rPr>
          <w:bCs/>
          <w:spacing w:val="-7"/>
          <w:sz w:val="28"/>
          <w:szCs w:val="28"/>
          <w:highlight w:val="yellow"/>
        </w:rPr>
      </w:pPr>
      <w:r>
        <w:rPr>
          <w:bCs/>
          <w:spacing w:val="-7"/>
          <w:sz w:val="28"/>
          <w:szCs w:val="28"/>
          <w:highlight w:val="yellow"/>
        </w:rPr>
      </w:r>
      <w:r/>
    </w:p>
    <w:p>
      <w:pPr>
        <w:ind w:left="709"/>
        <w:jc w:val="both"/>
        <w:shd w:val="clear" w:fill="FFFFFF" w:color="auto"/>
        <w:widowControl w:val="off"/>
        <w:tabs>
          <w:tab w:val="left" w:pos="0" w:leader="none"/>
        </w:tabs>
        <w:rPr>
          <w:bCs/>
          <w:spacing w:val="-7"/>
          <w:sz w:val="28"/>
          <w:szCs w:val="28"/>
          <w:highlight w:val="yellow"/>
        </w:rPr>
      </w:pPr>
      <w:r>
        <w:rPr>
          <w:bCs/>
          <w:spacing w:val="-7"/>
          <w:sz w:val="28"/>
          <w:szCs w:val="28"/>
          <w:highlight w:val="yellow"/>
        </w:rPr>
      </w:r>
      <w:r/>
    </w:p>
    <w:p>
      <w:pPr>
        <w:ind w:left="709"/>
        <w:jc w:val="both"/>
        <w:shd w:val="clear" w:fill="FFFFFF" w:color="auto"/>
        <w:widowControl w:val="off"/>
        <w:tabs>
          <w:tab w:val="left" w:pos="0" w:leader="none"/>
        </w:tabs>
        <w:rPr>
          <w:bCs/>
          <w:spacing w:val="-7"/>
          <w:sz w:val="28"/>
          <w:szCs w:val="28"/>
          <w:highlight w:val="yellow"/>
        </w:rPr>
      </w:pPr>
      <w:r>
        <w:rPr>
          <w:bCs/>
          <w:spacing w:val="-7"/>
          <w:sz w:val="28"/>
          <w:szCs w:val="28"/>
          <w:highlight w:val="yellow"/>
        </w:rPr>
      </w:r>
      <w:r/>
    </w:p>
    <w:p>
      <w:pPr>
        <w:jc w:val="center"/>
        <w:shd w:val="clear" w:fill="FFFFFF" w:color="auto"/>
        <w:widowControl w:val="off"/>
        <w:tabs>
          <w:tab w:val="left" w:pos="0" w:leader="none"/>
        </w:tabs>
        <w:rPr>
          <w:bCs/>
          <w:spacing w:val="-7"/>
          <w:sz w:val="28"/>
          <w:szCs w:val="28"/>
        </w:rPr>
      </w:pPr>
      <w:r>
        <w:rPr>
          <w:bCs/>
          <w:spacing w:val="-7"/>
          <w:sz w:val="28"/>
          <w:szCs w:val="28"/>
        </w:rPr>
        <w:t xml:space="preserve">г. </w:t>
      </w:r>
      <w:r>
        <w:rPr>
          <w:bCs/>
          <w:spacing w:val="-7"/>
          <w:sz w:val="28"/>
          <w:szCs w:val="28"/>
        </w:rPr>
        <w:t xml:space="preserve">Грозный</w:t>
      </w:r>
      <w:r>
        <w:rPr>
          <w:bCs/>
          <w:spacing w:val="-7"/>
          <w:sz w:val="28"/>
          <w:szCs w:val="28"/>
        </w:rPr>
        <w:t xml:space="preserve">, 20</w:t>
      </w:r>
      <w:r>
        <w:rPr>
          <w:bCs/>
          <w:spacing w:val="-7"/>
          <w:sz w:val="28"/>
          <w:szCs w:val="28"/>
        </w:rPr>
        <w:t xml:space="preserve">21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Аналитический отчет</w:t>
      </w:r>
      <w:r/>
    </w:p>
    <w:p>
      <w:pPr>
        <w:ind w:left="709"/>
        <w:jc w:val="both"/>
        <w:widowControl w:val="off"/>
        <w:tabs>
          <w:tab w:val="left" w:pos="0" w:leader="none"/>
        </w:tabs>
        <w:rPr>
          <w:bCs/>
          <w:spacing w:val="-7"/>
          <w:sz w:val="28"/>
          <w:szCs w:val="28"/>
        </w:rPr>
      </w:pPr>
      <w:r>
        <w:rPr>
          <w:sz w:val="28"/>
          <w:szCs w:val="28"/>
        </w:rPr>
        <w:t xml:space="preserve">о качестве условий </w:t>
      </w:r>
      <w:r>
        <w:rPr>
          <w:bCs/>
          <w:sz w:val="28"/>
          <w:szCs w:val="28"/>
        </w:rPr>
        <w:t xml:space="preserve">осуществления образовательной деятельности </w:t>
      </w:r>
      <w:r/>
    </w:p>
    <w:p>
      <w:pPr>
        <w:jc w:val="center"/>
        <w:spacing w:lineRule="auto" w:line="276"/>
      </w:pPr>
      <w:r>
        <w:rPr>
          <w:sz w:val="28"/>
          <w:szCs w:val="28"/>
          <w:shd w:val="clear" w:fill="FFFFFF" w:themeFill="background1" w:color="auto"/>
        </w:rPr>
        <w:t xml:space="preserve">МБОУ «СОШ с. Новый-Шарой» Ачхой</w:t>
      </w:r>
      <w:r>
        <w:rPr>
          <w:sz w:val="28"/>
          <w:szCs w:val="28"/>
          <w:shd w:val="clear" w:fill="FFFFFF" w:themeFill="background1" w:color="auto"/>
        </w:rPr>
        <w:t xml:space="preserve">-</w:t>
      </w:r>
      <w:r>
        <w:rPr>
          <w:sz w:val="28"/>
          <w:szCs w:val="28"/>
          <w:shd w:val="clear" w:fill="FFFFFF" w:themeFill="background1" w:color="auto"/>
        </w:rPr>
        <w:t xml:space="preserve">Мартановского</w:t>
      </w:r>
      <w:r>
        <w:rPr>
          <w:shd w:val="clear" w:fill="FFFFFF" w:themeFill="background1" w:color="auto"/>
        </w:rPr>
        <w:t xml:space="preserve"> </w:t>
      </w:r>
      <w:r>
        <w:rPr>
          <w:sz w:val="28"/>
          <w:szCs w:val="28"/>
          <w:shd w:val="clear" w:fill="FFFFFF" w:themeFill="background1" w:color="auto"/>
        </w:rPr>
        <w:t xml:space="preserve">муниципального района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показателями, характеризующими общие критерии оценки качества </w:t>
      </w:r>
      <w:r>
        <w:rPr>
          <w:bCs/>
          <w:sz w:val="28"/>
          <w:szCs w:val="28"/>
        </w:rPr>
        <w:t xml:space="preserve">условий осуществления образовательной деятельности </w:t>
      </w:r>
      <w:r>
        <w:rPr>
          <w:sz w:val="28"/>
          <w:szCs w:val="28"/>
        </w:rPr>
        <w:t xml:space="preserve">образовательными организациями, в отношении которых проводится независимая оценка</w:t>
      </w:r>
      <w:r/>
    </w:p>
    <w:p>
      <w:pPr>
        <w:jc w:val="center"/>
        <w:spacing w:lineRule="auto" w:line="276"/>
      </w:pPr>
      <w:r/>
      <w:r/>
    </w:p>
    <w:p>
      <w:pPr>
        <w:jc w:val="center"/>
        <w:spacing w:lineRule="auto" w:line="276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left="709"/>
        <w:jc w:val="both"/>
        <w:widowControl w:val="off"/>
        <w:tabs>
          <w:tab w:val="left" w:pos="0" w:leader="none"/>
        </w:tabs>
        <w:rPr>
          <w:bCs/>
          <w:spacing w:val="-7"/>
          <w:sz w:val="28"/>
          <w:szCs w:val="28"/>
        </w:rPr>
      </w:pPr>
      <w:r>
        <w:rPr>
          <w:bCs/>
          <w:spacing w:val="-7"/>
          <w:sz w:val="28"/>
          <w:szCs w:val="28"/>
        </w:rPr>
        <w:t xml:space="preserve">г. </w:t>
      </w:r>
      <w:r>
        <w:rPr>
          <w:bCs/>
          <w:spacing w:val="-7"/>
          <w:sz w:val="28"/>
          <w:szCs w:val="28"/>
        </w:rPr>
        <w:t xml:space="preserve">Грозный</w:t>
      </w:r>
      <w:r>
        <w:rPr>
          <w:bCs/>
          <w:spacing w:val="-7"/>
          <w:sz w:val="28"/>
          <w:szCs w:val="28"/>
        </w:rPr>
        <w:t xml:space="preserve">                                                              </w:t>
      </w:r>
      <w:r>
        <w:rPr>
          <w:bCs/>
          <w:spacing w:val="-7"/>
          <w:sz w:val="28"/>
          <w:szCs w:val="28"/>
        </w:rPr>
        <w:t xml:space="preserve">                </w:t>
      </w:r>
      <w:r>
        <w:rPr>
          <w:bCs/>
          <w:spacing w:val="-7"/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10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дека</w:t>
      </w:r>
      <w:r>
        <w:rPr>
          <w:sz w:val="28"/>
          <w:szCs w:val="28"/>
        </w:rPr>
        <w:t xml:space="preserve">бр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21</w:t>
      </w:r>
      <w:r>
        <w:rPr>
          <w:sz w:val="28"/>
          <w:szCs w:val="28"/>
        </w:rPr>
        <w:t xml:space="preserve">г.</w:t>
      </w:r>
      <w:r/>
    </w:p>
    <w:p>
      <w:pPr>
        <w:jc w:val="both"/>
        <w:widowControl w:val="off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/>
    </w:p>
    <w:p>
      <w:pPr>
        <w:pStyle w:val="688"/>
        <w:numPr>
          <w:ilvl w:val="0"/>
          <w:numId w:val="5"/>
        </w:numPr>
        <w:ind w:left="0" w:firstLine="708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Сбор и обобщение информации о качестве условий </w:t>
      </w:r>
      <w:r>
        <w:rPr>
          <w:bCs/>
          <w:sz w:val="28"/>
          <w:szCs w:val="28"/>
        </w:rPr>
        <w:t xml:space="preserve">осуществления образовательной деятельности </w:t>
      </w:r>
      <w:r>
        <w:rPr>
          <w:sz w:val="28"/>
          <w:szCs w:val="28"/>
          <w:shd w:val="clear" w:fill="FFFFFF" w:themeFill="background1" w:color="auto"/>
        </w:rPr>
        <w:t xml:space="preserve">МБОУ «СОШ с. Новый-Шарой» Ачхой Мартановского</w:t>
      </w:r>
      <w:r>
        <w:rPr>
          <w:shd w:val="clear" w:fill="FFFFFF" w:themeFill="background1" w:color="auto"/>
        </w:rPr>
        <w:t xml:space="preserve"> </w:t>
      </w:r>
      <w:r>
        <w:rPr>
          <w:sz w:val="28"/>
          <w:szCs w:val="28"/>
          <w:shd w:val="clear" w:fill="FFFFFF" w:themeFill="background1" w:color="auto"/>
        </w:rPr>
        <w:t xml:space="preserve">муниципального рай</w:t>
      </w:r>
      <w:r>
        <w:rPr>
          <w:sz w:val="28"/>
          <w:szCs w:val="28"/>
        </w:rPr>
        <w:t xml:space="preserve">она </w:t>
      </w:r>
      <w:r>
        <w:rPr>
          <w:sz w:val="28"/>
          <w:szCs w:val="28"/>
        </w:rPr>
        <w:t xml:space="preserve">осуществлено организацией-оператором – АНО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Северо-Кавказский центр профессионально-общественной аккредитации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во исполнение </w:t>
      </w:r>
      <w:r>
        <w:rPr>
          <w:color w:val="000000"/>
          <w:sz w:val="28"/>
          <w:szCs w:val="28"/>
        </w:rPr>
        <w:t xml:space="preserve">ч.2 ст.95 Федерального Закона </w:t>
      </w:r>
      <w:r>
        <w:rPr>
          <w:color w:val="000000"/>
          <w:sz w:val="28"/>
          <w:szCs w:val="28"/>
        </w:rPr>
        <w:t xml:space="preserve">от 29.12.2012г. № 273-ФЗ «Об образовании в Российской Федерации»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</w:t>
      </w:r>
      <w:r>
        <w:rPr>
          <w:sz w:val="28"/>
          <w:szCs w:val="28"/>
        </w:rPr>
        <w:t xml:space="preserve">о следующими нормативно-правовыми актами и методическими рекомендациями:</w:t>
      </w:r>
      <w:r/>
    </w:p>
    <w:p>
      <w:pPr>
        <w:ind w:firstLine="709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Постановление Правительства Российской Федерации от 31 мая 2018 г. № 638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Об утверждении Правил сбора и обобщения информации о качестве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.</w:t>
      </w:r>
      <w:r/>
    </w:p>
    <w:p>
      <w:pPr>
        <w:ind w:firstLine="709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Приказ Минтруда России от 31 мая 2018 г. № 344н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Об утверж</w:t>
      </w:r>
      <w:r>
        <w:rPr>
          <w:sz w:val="28"/>
          <w:szCs w:val="28"/>
        </w:rPr>
        <w:t xml:space="preserve">дении Единого порядка расчета показателей, характеризующих общие критерии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.</w:t>
      </w:r>
      <w:r/>
    </w:p>
    <w:p>
      <w:pPr>
        <w:ind w:firstLine="709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Приказ Министерства просвещения Российской Федерации от 13.03.2019 № 114 "Об утверждении показателей, характеризующих общие критерии оценки качества условий осуществления образовательной деятельности организац</w:t>
      </w:r>
      <w:r>
        <w:rPr>
          <w:sz w:val="28"/>
          <w:szCs w:val="28"/>
        </w:rPr>
        <w:t xml:space="preserve">иями, осуществляющими образовательную деятельность по основным общеобразовательным программам, образовательным программам среднего профессионального образования, основным программам профессионального обучения, дополнительным общеобразовательным программам"</w:t>
      </w:r>
      <w:r>
        <w:rPr>
          <w:sz w:val="28"/>
          <w:szCs w:val="28"/>
        </w:rPr>
        <w:t xml:space="preserve">.</w:t>
      </w:r>
      <w:r/>
    </w:p>
    <w:p>
      <w:pPr>
        <w:ind w:firstLine="709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Методи</w:t>
      </w:r>
      <w:r>
        <w:rPr>
          <w:sz w:val="28"/>
          <w:szCs w:val="28"/>
        </w:rPr>
        <w:t xml:space="preserve">ческие рекомендации </w:t>
      </w:r>
      <w:r>
        <w:rPr>
          <w:sz w:val="28"/>
          <w:szCs w:val="28"/>
        </w:rPr>
        <w:t xml:space="preserve">к Единому порядку расчета показателей независимой оценки качества условий осуществления образовательной деятельности организациями, осуществляющими образователь</w:t>
      </w:r>
      <w:r>
        <w:rPr>
          <w:sz w:val="28"/>
          <w:szCs w:val="28"/>
        </w:rPr>
        <w:t xml:space="preserve">ную деятельность по основным общеобразовательным программам, образовательным программам среднего профессионального образования, основным программам профессионального обучения, дополнительным общеобразовательным программам (с учетом отраслевых особенностей)</w:t>
      </w:r>
      <w:r>
        <w:rPr>
          <w:sz w:val="28"/>
          <w:szCs w:val="28"/>
        </w:rPr>
        <w:t xml:space="preserve">.</w:t>
      </w:r>
      <w:r/>
    </w:p>
    <w:p>
      <w:pPr>
        <w:ind w:firstLine="709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Общие исходные сведения о</w:t>
      </w:r>
      <w:r>
        <w:rPr>
          <w:sz w:val="28"/>
          <w:szCs w:val="28"/>
        </w:rPr>
        <w:t xml:space="preserve">б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организации:</w:t>
      </w:r>
      <w:r/>
    </w:p>
    <w:p>
      <w:pPr>
        <w:pStyle w:val="688"/>
        <w:numPr>
          <w:ilvl w:val="0"/>
          <w:numId w:val="3"/>
        </w:numPr>
        <w:jc w:val="both"/>
        <w:spacing w:before="100" w:beforeAutospacing="1"/>
        <w:tabs>
          <w:tab w:val="left" w:pos="709" w:leader="none"/>
          <w:tab w:val="left" w:pos="1134" w:leader="none"/>
          <w:tab w:val="left" w:pos="1560" w:leader="none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Наименование организации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shd w:val="clear" w:fill="FFFFFF" w:themeFill="background1" w:color="auto"/>
        </w:rPr>
        <w:t xml:space="preserve">МБОУ «СОШ с. Новый-Шарой» Ачхой</w:t>
      </w:r>
      <w:r>
        <w:rPr>
          <w:sz w:val="28"/>
          <w:szCs w:val="28"/>
          <w:shd w:val="clear" w:fill="FFFFFF" w:themeFill="background1" w:color="auto"/>
        </w:rPr>
        <w:t xml:space="preserve">-</w:t>
      </w:r>
      <w:r>
        <w:rPr>
          <w:sz w:val="28"/>
          <w:szCs w:val="28"/>
          <w:shd w:val="clear" w:fill="FFFFFF" w:themeFill="background1" w:color="auto"/>
        </w:rPr>
        <w:t xml:space="preserve"> Мартановского</w:t>
      </w:r>
      <w:r>
        <w:rPr>
          <w:shd w:val="clear" w:fill="FFFFFF" w:themeFill="background1" w:color="auto"/>
        </w:rPr>
        <w:t xml:space="preserve"> </w:t>
      </w:r>
      <w:r>
        <w:rPr>
          <w:sz w:val="28"/>
          <w:szCs w:val="28"/>
          <w:shd w:val="clear" w:fill="FFFFFF" w:themeFill="background1" w:color="auto"/>
        </w:rPr>
        <w:t xml:space="preserve">муниципального района</w:t>
      </w:r>
      <w:r>
        <w:t xml:space="preserve"> </w:t>
      </w:r>
      <w:r/>
    </w:p>
    <w:p>
      <w:pPr>
        <w:pStyle w:val="688"/>
        <w:numPr>
          <w:ilvl w:val="0"/>
          <w:numId w:val="3"/>
        </w:numPr>
        <w:jc w:val="both"/>
        <w:spacing w:before="100" w:beforeAutospacing="1"/>
        <w:tabs>
          <w:tab w:val="left" w:pos="709" w:leader="none"/>
          <w:tab w:val="left" w:pos="1134" w:leader="none"/>
          <w:tab w:val="left" w:pos="1560" w:leader="none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Юридический адрес организации</w:t>
      </w:r>
      <w:r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366603; Ч</w:t>
      </w:r>
      <w:r>
        <w:rPr>
          <w:sz w:val="28"/>
          <w:szCs w:val="28"/>
        </w:rPr>
        <w:t xml:space="preserve">еченская 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еспублика</w:t>
      </w:r>
      <w:r>
        <w:rPr>
          <w:sz w:val="28"/>
          <w:szCs w:val="28"/>
        </w:rPr>
        <w:t xml:space="preserve">; Ачхой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Мартановский муниципальный район; с. Новый-Шарой; ул. Кадырова,17</w:t>
      </w:r>
      <w:r>
        <w:t xml:space="preserve"> </w:t>
      </w:r>
      <w:r/>
    </w:p>
    <w:p>
      <w:pPr>
        <w:pStyle w:val="688"/>
        <w:numPr>
          <w:ilvl w:val="0"/>
          <w:numId w:val="3"/>
        </w:numPr>
        <w:jc w:val="both"/>
        <w:spacing w:before="100" w:beforeAutospacing="1"/>
        <w:tabs>
          <w:tab w:val="left" w:pos="709" w:leader="none"/>
          <w:tab w:val="left" w:pos="1134" w:leader="none"/>
          <w:tab w:val="left" w:pos="1560" w:leader="none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Период проведения дистанционного этапа сбора информации</w:t>
      </w:r>
      <w:r>
        <w:rPr>
          <w:sz w:val="28"/>
          <w:szCs w:val="28"/>
        </w:rPr>
        <w:t xml:space="preserve">: с </w:t>
      </w:r>
      <w:r>
        <w:rPr>
          <w:sz w:val="28"/>
          <w:szCs w:val="28"/>
        </w:rPr>
        <w:t xml:space="preserve">06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12</w:t>
      </w:r>
      <w:r>
        <w:rPr>
          <w:sz w:val="28"/>
          <w:szCs w:val="28"/>
        </w:rPr>
        <w:t xml:space="preserve">.20</w:t>
      </w:r>
      <w:r>
        <w:rPr>
          <w:sz w:val="28"/>
          <w:szCs w:val="28"/>
        </w:rPr>
        <w:t xml:space="preserve">21</w:t>
      </w:r>
      <w:r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10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12</w:t>
      </w:r>
      <w:r>
        <w:rPr>
          <w:sz w:val="28"/>
          <w:szCs w:val="28"/>
        </w:rPr>
        <w:t xml:space="preserve">.20</w:t>
      </w:r>
      <w:r>
        <w:rPr>
          <w:sz w:val="28"/>
          <w:szCs w:val="28"/>
        </w:rPr>
        <w:t xml:space="preserve">21</w:t>
      </w:r>
      <w:r>
        <w:rPr>
          <w:sz w:val="28"/>
          <w:szCs w:val="28"/>
        </w:rPr>
        <w:t xml:space="preserve"> гг. </w:t>
      </w:r>
      <w:r/>
    </w:p>
    <w:p>
      <w:pPr>
        <w:pStyle w:val="688"/>
        <w:numPr>
          <w:ilvl w:val="0"/>
          <w:numId w:val="3"/>
        </w:numPr>
        <w:jc w:val="both"/>
        <w:tabs>
          <w:tab w:val="left" w:pos="709" w:leader="none"/>
          <w:tab w:val="left" w:pos="1134" w:leader="none"/>
          <w:tab w:val="left" w:pos="1560" w:leader="none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Дата визита представителей организации-оператора в организацию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shd w:val="clear" w:fill="FFFFFF" w:themeFill="background1" w:color="auto"/>
        </w:rPr>
        <w:t xml:space="preserve">17.12.2021</w:t>
      </w:r>
      <w:r>
        <w:rPr>
          <w:sz w:val="28"/>
          <w:szCs w:val="28"/>
          <w:shd w:val="clear" w:fill="FFFFFF" w:themeFill="background1" w:color="auto"/>
        </w:rPr>
        <w:t xml:space="preserve"> г.</w:t>
      </w:r>
      <w:r/>
    </w:p>
    <w:p>
      <w:pPr>
        <w:pStyle w:val="688"/>
        <w:numPr>
          <w:ilvl w:val="0"/>
          <w:numId w:val="3"/>
        </w:numPr>
        <w:jc w:val="both"/>
        <w:tabs>
          <w:tab w:val="left" w:pos="709" w:leader="none"/>
          <w:tab w:val="left" w:pos="1134" w:leader="none"/>
          <w:tab w:val="left" w:pos="1560" w:leader="none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Численность респондентов </w:t>
      </w:r>
      <w:r>
        <w:rPr>
          <w:b/>
          <w:sz w:val="28"/>
          <w:szCs w:val="28"/>
        </w:rPr>
        <w:t xml:space="preserve">в образовательно</w:t>
      </w:r>
      <w:r>
        <w:rPr>
          <w:b/>
          <w:sz w:val="28"/>
          <w:szCs w:val="28"/>
        </w:rPr>
        <w:t xml:space="preserve">й организации 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shd w:val="clear" w:fill="FFFFFF" w:themeFill="background1" w:color="auto"/>
        </w:rPr>
        <w:t xml:space="preserve">74</w:t>
      </w:r>
      <w:r>
        <w:rPr>
          <w:sz w:val="28"/>
          <w:szCs w:val="28"/>
          <w:shd w:val="clear" w:fill="FFFFFF" w:themeFill="background1" w:color="auto"/>
        </w:rPr>
        <w:t xml:space="preserve"> </w:t>
      </w:r>
      <w:r>
        <w:rPr>
          <w:sz w:val="28"/>
          <w:szCs w:val="28"/>
        </w:rPr>
        <w:t xml:space="preserve">чел.</w:t>
      </w:r>
      <w:r>
        <w:rPr>
          <w:sz w:val="28"/>
          <w:szCs w:val="28"/>
        </w:rPr>
        <w:t xml:space="preserve">.</w:t>
      </w:r>
      <w:r/>
    </w:p>
    <w:p>
      <w:pPr>
        <w:pStyle w:val="688"/>
        <w:ind w:left="709"/>
        <w:jc w:val="both"/>
        <w:tabs>
          <w:tab w:val="left" w:pos="709" w:leader="none"/>
          <w:tab w:val="left" w:pos="1134" w:leader="none"/>
          <w:tab w:val="left" w:pos="1560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Рекомендации членов внешних экспертных комиссий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респондентов </w:t>
      </w:r>
      <w:r>
        <w:rPr>
          <w:sz w:val="28"/>
          <w:szCs w:val="28"/>
        </w:rPr>
        <w:t xml:space="preserve">по улучшению качества условий </w:t>
      </w:r>
      <w:r>
        <w:rPr>
          <w:sz w:val="28"/>
          <w:szCs w:val="28"/>
        </w:rPr>
        <w:t xml:space="preserve">осуществления образовательной деятельности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shd w:val="clear" w:fill="FFFFFF" w:themeFill="background1" w:color="auto"/>
        </w:rPr>
        <w:t xml:space="preserve">МБОУ «СОШ с. Новый-Шарой» Ачхой</w:t>
      </w:r>
      <w:r>
        <w:rPr>
          <w:sz w:val="28"/>
          <w:szCs w:val="28"/>
          <w:shd w:val="clear" w:fill="FFFFFF" w:themeFill="background1" w:color="auto"/>
        </w:rPr>
        <w:t xml:space="preserve">-</w:t>
      </w:r>
      <w:r>
        <w:rPr>
          <w:sz w:val="28"/>
          <w:szCs w:val="28"/>
          <w:shd w:val="clear" w:fill="FFFFFF" w:themeFill="background1" w:color="auto"/>
        </w:rPr>
        <w:t xml:space="preserve">Мартановского</w:t>
      </w:r>
      <w:r>
        <w:rPr>
          <w:shd w:val="clear" w:fill="FFFFFF" w:themeFill="background1" w:color="auto"/>
        </w:rPr>
        <w:t xml:space="preserve"> </w:t>
      </w:r>
      <w:r>
        <w:rPr>
          <w:sz w:val="28"/>
          <w:szCs w:val="28"/>
          <w:shd w:val="clear" w:fill="FFFFFF" w:themeFill="background1" w:color="auto"/>
        </w:rPr>
        <w:t xml:space="preserve">муниципального района</w:t>
      </w:r>
      <w:r/>
    </w:p>
    <w:tbl>
      <w:tblPr>
        <w:tblStyle w:val="683"/>
        <w:tblW w:w="9776" w:type="dxa"/>
        <w:tblLook w:val="04A0" w:firstRow="1" w:lastRow="0" w:firstColumn="1" w:lastColumn="0" w:noHBand="0" w:noVBand="1"/>
      </w:tblPr>
      <w:tblGrid>
        <w:gridCol w:w="2677"/>
        <w:gridCol w:w="7099"/>
      </w:tblGrid>
      <w:tr>
        <w:trPr/>
        <w:tc>
          <w:tcPr>
            <w:shd w:val="clear" w:fill="DEEAF6" w:color="auto"/>
            <w:tcW w:w="2677" w:type="dxa"/>
            <w:textDirection w:val="lrTb"/>
            <w:noWrap w:val="false"/>
          </w:tcPr>
          <w:p>
            <w:pPr>
              <w:jc w:val="both"/>
            </w:pPr>
            <w:r>
              <w:t xml:space="preserve">Критерий 1</w:t>
            </w:r>
            <w:r/>
          </w:p>
        </w:tc>
        <w:tc>
          <w:tcPr>
            <w:shd w:val="clear" w:fill="DEEAF6" w:color="auto"/>
            <w:tcW w:w="7099" w:type="dxa"/>
            <w:textDirection w:val="lrTb"/>
            <w:noWrap w:val="false"/>
          </w:tcPr>
          <w:p>
            <w:pPr>
              <w:jc w:val="center"/>
            </w:pPr>
            <w:r>
              <w:t xml:space="preserve">Открытость и доступность информации об организации</w:t>
            </w:r>
            <w:r/>
          </w:p>
        </w:tc>
      </w:tr>
      <w:tr>
        <w:trPr/>
        <w:tc>
          <w:tcPr>
            <w:shd w:val="clear" w:fill="auto" w:color="auto"/>
            <w:tcW w:w="2677" w:type="dxa"/>
            <w:textDirection w:val="lrTb"/>
            <w:noWrap w:val="false"/>
          </w:tcPr>
          <w:p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Пок. 1.1.</w:t>
            </w:r>
            <w:r/>
          </w:p>
        </w:tc>
        <w:tc>
          <w:tcPr>
            <w:shd w:val="clear" w:fill="auto" w:color="auto"/>
            <w:tcW w:w="7099" w:type="dxa"/>
            <w:textDirection w:val="lrTb"/>
            <w:noWrap w:val="false"/>
          </w:tcPr>
          <w:p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Соответствие информации о деятельности организации, размещенной на общедоступных информационных ресурсах, ее содержанию и порядку (форме) размещения, установленным нормативными правовыми актами </w:t>
            </w:r>
            <w:r/>
          </w:p>
        </w:tc>
      </w:tr>
      <w:tr>
        <w:trPr/>
        <w:tc>
          <w:tcPr>
            <w:shd w:val="clear" w:fill="auto" w:color="auto"/>
            <w:tcW w:w="2677" w:type="dxa"/>
            <w:textDirection w:val="lrTb"/>
            <w:noWrap w:val="false"/>
          </w:tcPr>
          <w:p>
            <w:pPr>
              <w:jc w:val="both"/>
              <w:rPr>
                <w:i/>
                <w:iCs/>
              </w:rPr>
            </w:pPr>
            <w:r>
              <w:t xml:space="preserve">на </w:t>
            </w:r>
            <w:r>
              <w:rPr>
                <w:u w:val="single"/>
              </w:rPr>
              <w:t xml:space="preserve">информационных стендах</w:t>
            </w:r>
            <w:r>
              <w:t xml:space="preserve"> в помещении организации</w:t>
            </w:r>
            <w:r/>
          </w:p>
        </w:tc>
        <w:tc>
          <w:tcPr>
            <w:shd w:val="clear" w:fill="auto" w:color="auto"/>
            <w:tcW w:w="7099" w:type="dxa"/>
            <w:textDirection w:val="lrTb"/>
            <w:noWrap w:val="false"/>
          </w:tcPr>
          <w:p>
            <w:pPr>
              <w:jc w:val="both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 xml:space="preserve">-</w:t>
            </w:r>
            <w:r/>
          </w:p>
        </w:tc>
      </w:tr>
      <w:tr>
        <w:trPr/>
        <w:tc>
          <w:tcPr>
            <w:shd w:val="clear" w:fill="auto" w:color="auto"/>
            <w:tcW w:w="2677" w:type="dxa"/>
            <w:textDirection w:val="lrTb"/>
            <w:noWrap w:val="false"/>
          </w:tcPr>
          <w:p>
            <w:pPr>
              <w:jc w:val="both"/>
            </w:pPr>
            <w:r>
              <w:t xml:space="preserve">на </w:t>
            </w:r>
            <w:r>
              <w:rPr>
                <w:u w:val="single"/>
              </w:rPr>
              <w:t xml:space="preserve">официальном сайте</w:t>
            </w:r>
            <w:r>
              <w:t xml:space="preserve"> организации в информационно-телекоммуникационной сети "Интернет"</w:t>
            </w:r>
            <w:r/>
          </w:p>
        </w:tc>
        <w:tc>
          <w:tcPr>
            <w:shd w:val="clear" w:fill="auto" w:color="auto"/>
            <w:tcW w:w="7099" w:type="dxa"/>
            <w:textDirection w:val="lrTb"/>
            <w:noWrap w:val="false"/>
          </w:tcPr>
          <w:p>
            <w:pPr>
              <w:jc w:val="both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 xml:space="preserve">-</w:t>
            </w:r>
            <w:r/>
          </w:p>
        </w:tc>
      </w:tr>
      <w:tr>
        <w:trPr/>
        <w:tc>
          <w:tcPr>
            <w:shd w:val="clear" w:fill="auto" w:color="auto"/>
            <w:tcW w:w="2677" w:type="dxa"/>
            <w:textDirection w:val="lrTb"/>
            <w:noWrap w:val="false"/>
          </w:tcPr>
          <w:p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Пок. 1.2.</w:t>
            </w:r>
            <w:r/>
          </w:p>
        </w:tc>
        <w:tc>
          <w:tcPr>
            <w:shd w:val="clear" w:fill="auto" w:color="auto"/>
            <w:tcW w:w="7099" w:type="dxa"/>
            <w:textDirection w:val="lrTb"/>
            <w:noWrap w:val="false"/>
          </w:tcPr>
          <w:p>
            <w:pPr>
              <w:pStyle w:val="688"/>
              <w:ind w:left="69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Обеспечение на официальном сайте организации наличия и функционирования дистанционных способов обратной связи и взаимодействия с получателями услуг</w:t>
            </w:r>
            <w:r/>
          </w:p>
        </w:tc>
      </w:tr>
      <w:tr>
        <w:trPr/>
        <w:tc>
          <w:tcPr>
            <w:shd w:val="clear" w:fill="auto" w:color="auto"/>
            <w:tcW w:w="2677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shd w:val="clear" w:fill="auto" w:color="auto"/>
            <w:tcW w:w="7099" w:type="dxa"/>
            <w:textDirection w:val="lrTb"/>
            <w:noWrap w:val="false"/>
          </w:tcPr>
          <w:p>
            <w:pPr>
              <w:pStyle w:val="688"/>
              <w:numPr>
                <w:ilvl w:val="0"/>
                <w:numId w:val="8"/>
              </w:numPr>
              <w:jc w:val="both"/>
            </w:pPr>
            <w:r>
              <w:t xml:space="preserve">Обеспечить на сайте образовательной организации сведений о телефоне и адресе электронной почты образовательной организации.</w:t>
            </w:r>
            <w:r/>
          </w:p>
          <w:p>
            <w:pPr>
              <w:pStyle w:val="688"/>
              <w:numPr>
                <w:ilvl w:val="0"/>
                <w:numId w:val="8"/>
              </w:numPr>
              <w:jc w:val="both"/>
            </w:pPr>
            <w:r>
              <w:t xml:space="preserve">Обеспечить наличие технической возможности выражения участниками образовательных отношений мнения о качестве условий оказания услуг посредством размещения на сайте организации анкеты для опроса граждан или гиперссылки на нее.</w:t>
            </w:r>
            <w:r/>
          </w:p>
        </w:tc>
      </w:tr>
      <w:tr>
        <w:trPr/>
        <w:tc>
          <w:tcPr>
            <w:shd w:val="clear" w:fill="auto" w:color="auto"/>
            <w:tcW w:w="2677" w:type="dxa"/>
            <w:textDirection w:val="lrTb"/>
            <w:noWrap w:val="false"/>
          </w:tcPr>
          <w:p>
            <w:pPr>
              <w:jc w:val="both"/>
            </w:pPr>
            <w:r>
              <w:rPr>
                <w:i/>
                <w:iCs/>
              </w:rPr>
              <w:t xml:space="preserve">Пок. 1.3.</w:t>
            </w:r>
            <w:r/>
          </w:p>
        </w:tc>
        <w:tc>
          <w:tcPr>
            <w:shd w:val="clear" w:fill="auto" w:color="auto"/>
            <w:tcW w:w="7099" w:type="dxa"/>
            <w:textDirection w:val="lrTb"/>
            <w:noWrap w:val="false"/>
          </w:tcPr>
          <w:p>
            <w:pPr>
              <w:pStyle w:val="688"/>
              <w:ind w:left="0"/>
              <w:jc w:val="both"/>
            </w:pPr>
            <w:r>
              <w:rPr>
                <w:i/>
                <w:iCs/>
              </w:rPr>
              <w:t xml:space="preserve">Удовлетворенность получателей услуг открытостью и доступностью информации об образовательной организации </w:t>
            </w:r>
            <w:r/>
          </w:p>
        </w:tc>
      </w:tr>
      <w:tr>
        <w:trPr/>
        <w:tc>
          <w:tcPr>
            <w:shd w:val="clear" w:fill="auto" w:color="auto"/>
            <w:tcW w:w="2677" w:type="dxa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shd w:val="clear" w:fill="auto" w:color="auto"/>
            <w:tcW w:w="7099" w:type="dxa"/>
            <w:textDirection w:val="lrTb"/>
            <w:noWrap w:val="false"/>
          </w:tcPr>
          <w:p>
            <w:pPr>
              <w:jc w:val="both"/>
            </w:pPr>
            <w:r>
              <w:t xml:space="preserve">Систематически проводить работу с получателями услуг/законными представителями о возможности получения интересующей информации на сайте образовательной организации.</w:t>
            </w:r>
            <w:r/>
          </w:p>
        </w:tc>
      </w:tr>
      <w:tr>
        <w:trPr/>
        <w:tc>
          <w:tcPr>
            <w:shd w:val="clear" w:fill="DEEAF6" w:color="auto"/>
            <w:tcW w:w="2677" w:type="dxa"/>
            <w:textDirection w:val="lrTb"/>
            <w:noWrap w:val="false"/>
          </w:tcPr>
          <w:p>
            <w:pPr>
              <w:jc w:val="center"/>
            </w:pPr>
            <w:r>
              <w:t xml:space="preserve">Критерий 2</w:t>
            </w:r>
            <w:r/>
          </w:p>
        </w:tc>
        <w:tc>
          <w:tcPr>
            <w:shd w:val="clear" w:fill="DEEAF6" w:color="auto"/>
            <w:tcW w:w="7099" w:type="dxa"/>
            <w:textDirection w:val="lrTb"/>
            <w:noWrap w:val="false"/>
          </w:tcPr>
          <w:p>
            <w:pPr>
              <w:jc w:val="both"/>
            </w:pPr>
            <w:r>
              <w:t xml:space="preserve">Комфортность условий предоставления услуг</w:t>
            </w:r>
            <w:r/>
          </w:p>
        </w:tc>
      </w:tr>
      <w:tr>
        <w:trPr/>
        <w:tc>
          <w:tcPr>
            <w:shd w:val="clear" w:fill="auto" w:color="auto"/>
            <w:tcW w:w="2677" w:type="dxa"/>
            <w:textDirection w:val="lrTb"/>
            <w:noWrap w:val="false"/>
          </w:tcPr>
          <w:p>
            <w:r>
              <w:rPr>
                <w:i/>
                <w:iCs/>
              </w:rPr>
              <w:t xml:space="preserve">Пок. 2.1.</w:t>
            </w:r>
            <w:r/>
          </w:p>
        </w:tc>
        <w:tc>
          <w:tcPr>
            <w:shd w:val="clear" w:fill="auto" w:color="auto"/>
            <w:tcW w:w="7099" w:type="dxa"/>
            <w:textDirection w:val="lrTb"/>
            <w:noWrap w:val="false"/>
          </w:tcPr>
          <w:p>
            <w:pPr>
              <w:jc w:val="both"/>
            </w:pPr>
            <w:r>
              <w:rPr>
                <w:i/>
                <w:iCs/>
              </w:rPr>
              <w:t xml:space="preserve">Обеспечение в организации комфортных условий для предоставления образовательных услуг</w:t>
            </w:r>
            <w:r/>
          </w:p>
        </w:tc>
      </w:tr>
      <w:tr>
        <w:trPr/>
        <w:tc>
          <w:tcPr>
            <w:shd w:val="clear" w:fill="auto" w:color="auto"/>
            <w:tcW w:w="2677" w:type="dxa"/>
            <w:textDirection w:val="lrTb"/>
            <w:noWrap w:val="false"/>
          </w:tcPr>
          <w:p>
            <w:pPr>
              <w:rPr>
                <w:i/>
                <w:iCs/>
              </w:rPr>
            </w:pPr>
            <w:r>
              <w:rPr>
                <w:i/>
                <w:iCs/>
              </w:rPr>
            </w:r>
            <w:r/>
          </w:p>
        </w:tc>
        <w:tc>
          <w:tcPr>
            <w:shd w:val="clear" w:fill="auto" w:color="auto"/>
            <w:tcW w:w="7099" w:type="dxa"/>
            <w:textDirection w:val="lrTb"/>
            <w:noWrap w:val="false"/>
          </w:tcPr>
          <w:p>
            <w:pPr>
              <w:jc w:val="both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 xml:space="preserve">-</w:t>
            </w:r>
            <w:r/>
          </w:p>
        </w:tc>
      </w:tr>
      <w:tr>
        <w:trPr/>
        <w:tc>
          <w:tcPr>
            <w:shd w:val="clear" w:fill="auto" w:color="auto"/>
            <w:tcW w:w="2677" w:type="dxa"/>
            <w:textDirection w:val="lrTb"/>
            <w:noWrap w:val="false"/>
          </w:tcPr>
          <w:p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Пок. 2.3.</w:t>
            </w:r>
            <w:r/>
          </w:p>
        </w:tc>
        <w:tc>
          <w:tcPr>
            <w:shd w:val="clear" w:fill="auto" w:color="auto"/>
            <w:tcW w:w="7099" w:type="dxa"/>
            <w:textDirection w:val="lrTb"/>
            <w:noWrap w:val="false"/>
          </w:tcPr>
          <w:p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Удовлетворенность комфортностью условий предоставления услуг</w:t>
            </w:r>
            <w:r/>
          </w:p>
        </w:tc>
      </w:tr>
      <w:tr>
        <w:trPr/>
        <w:tc>
          <w:tcPr>
            <w:shd w:val="clear" w:fill="auto" w:color="auto"/>
            <w:tcW w:w="2677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shd w:val="clear" w:fill="auto" w:color="auto"/>
            <w:tcW w:w="7099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Рекомендации респондентов:</w:t>
            </w:r>
            <w:r>
              <w:t xml:space="preserve">отсутствуют.</w:t>
            </w:r>
            <w:r/>
          </w:p>
        </w:tc>
      </w:tr>
      <w:tr>
        <w:trPr/>
        <w:tc>
          <w:tcPr>
            <w:shd w:val="clear" w:fill="DEEAF6" w:color="auto"/>
            <w:tcW w:w="2677" w:type="dxa"/>
            <w:textDirection w:val="lrTb"/>
            <w:noWrap w:val="false"/>
          </w:tcPr>
          <w:p>
            <w:pPr>
              <w:jc w:val="both"/>
            </w:pPr>
            <w:r>
              <w:t xml:space="preserve">Критерий 3</w:t>
            </w:r>
            <w:r/>
          </w:p>
        </w:tc>
        <w:tc>
          <w:tcPr>
            <w:shd w:val="clear" w:fill="DEEAF6" w:color="auto"/>
            <w:tcW w:w="7099" w:type="dxa"/>
            <w:textDirection w:val="lrTb"/>
            <w:noWrap w:val="false"/>
          </w:tcPr>
          <w:p>
            <w:pPr>
              <w:jc w:val="both"/>
              <w:rPr>
                <w:lang w:val="en-US"/>
              </w:rPr>
            </w:pPr>
            <w:r>
              <w:t xml:space="preserve">Доступность услуг для инвалидов</w:t>
            </w:r>
            <w:r/>
          </w:p>
        </w:tc>
      </w:tr>
      <w:tr>
        <w:trPr/>
        <w:tc>
          <w:tcPr>
            <w:shd w:val="clear" w:fill="auto" w:color="auto"/>
            <w:tcW w:w="2677" w:type="dxa"/>
            <w:textDirection w:val="lrTb"/>
            <w:noWrap w:val="false"/>
          </w:tcPr>
          <w:p>
            <w:pPr>
              <w:jc w:val="both"/>
            </w:pPr>
            <w:r>
              <w:t xml:space="preserve">Пок. 3.1.</w:t>
            </w:r>
            <w:r/>
          </w:p>
        </w:tc>
        <w:tc>
          <w:tcPr>
            <w:shd w:val="clear" w:fill="auto" w:color="auto"/>
            <w:tcW w:w="7099" w:type="dxa"/>
            <w:textDirection w:val="lrTb"/>
            <w:noWrap w:val="false"/>
          </w:tcPr>
          <w:p>
            <w:pPr>
              <w:jc w:val="both"/>
            </w:pPr>
            <w:r>
              <w:t xml:space="preserve">Оборудование территории, прилегающей к организации, и ее помещений с учетом доступности для инвалидов</w:t>
            </w:r>
            <w:r/>
          </w:p>
        </w:tc>
      </w:tr>
      <w:tr>
        <w:trPr/>
        <w:tc>
          <w:tcPr>
            <w:shd w:val="clear" w:fill="auto" w:color="auto"/>
            <w:tcW w:w="2677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shd w:val="clear" w:fill="auto" w:color="auto"/>
            <w:tcW w:w="7099" w:type="dxa"/>
            <w:textDirection w:val="lrTb"/>
            <w:noWrap w:val="false"/>
          </w:tcPr>
          <w:p>
            <w:pPr>
              <w:pStyle w:val="688"/>
              <w:ind w:left="352"/>
              <w:jc w:val="both"/>
            </w:pPr>
            <w:r>
              <w:t xml:space="preserve">-</w:t>
            </w:r>
            <w:r/>
          </w:p>
        </w:tc>
      </w:tr>
      <w:tr>
        <w:trPr/>
        <w:tc>
          <w:tcPr>
            <w:shd w:val="clear" w:fill="auto" w:color="auto"/>
            <w:tcW w:w="2677" w:type="dxa"/>
            <w:textDirection w:val="lrTb"/>
            <w:noWrap w:val="false"/>
          </w:tcPr>
          <w:p>
            <w:pPr>
              <w:jc w:val="both"/>
            </w:pPr>
            <w:r>
              <w:t xml:space="preserve">Пок. 3.2.</w:t>
            </w:r>
            <w:r/>
          </w:p>
        </w:tc>
        <w:tc>
          <w:tcPr>
            <w:shd w:val="clear" w:fill="auto" w:color="auto"/>
            <w:tcW w:w="7099" w:type="dxa"/>
            <w:textDirection w:val="lrTb"/>
            <w:noWrap w:val="false"/>
          </w:tcPr>
          <w:p>
            <w:pPr>
              <w:jc w:val="both"/>
            </w:pPr>
            <w:r>
              <w:t xml:space="preserve">Обеспечение в образовательной организации условий доступности, позволяющих инвалидам получать образовательные услуги </w:t>
            </w:r>
            <w:r/>
          </w:p>
          <w:p>
            <w:pPr>
              <w:jc w:val="both"/>
            </w:pPr>
            <w:r>
              <w:t xml:space="preserve">наравне с другими</w:t>
            </w:r>
            <w:r/>
          </w:p>
        </w:tc>
      </w:tr>
      <w:tr>
        <w:trPr/>
        <w:tc>
          <w:tcPr>
            <w:shd w:val="clear" w:fill="auto" w:color="auto"/>
            <w:tcW w:w="2677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shd w:val="clear" w:fill="auto" w:color="auto"/>
            <w:tcW w:w="7099" w:type="dxa"/>
            <w:textDirection w:val="lrTb"/>
            <w:noWrap w:val="false"/>
          </w:tcPr>
          <w:p>
            <w:pPr>
              <w:pStyle w:val="688"/>
              <w:numPr>
                <w:ilvl w:val="0"/>
                <w:numId w:val="10"/>
              </w:numPr>
              <w:jc w:val="both"/>
            </w:pPr>
            <w:r>
              <w:t xml:space="preserve">Обеспечить возможность предоставления инвалидам по слуху и зрению услуг сурдопереводчиков (тифлосурдопереводчиков), в том числе посредством межведомственного взаимодействия и социального партнерства</w:t>
            </w:r>
            <w:r/>
          </w:p>
          <w:p>
            <w:pPr>
              <w:pStyle w:val="688"/>
              <w:numPr>
                <w:ilvl w:val="0"/>
                <w:numId w:val="10"/>
              </w:numPr>
              <w:jc w:val="both"/>
            </w:pPr>
            <w:r>
              <w:t xml:space="preserve">Обеспечить возможность оказания помощи работками образовательной организации инвалидам: провести соответствующий инструктаж, определить должностное лицо, ответственное за сопровождение лиц с ОВЗ.</w:t>
            </w:r>
            <w:r/>
          </w:p>
        </w:tc>
      </w:tr>
      <w:tr>
        <w:trPr/>
        <w:tc>
          <w:tcPr>
            <w:shd w:val="clear" w:fill="auto" w:color="auto"/>
            <w:tcW w:w="2677" w:type="dxa"/>
            <w:textDirection w:val="lrTb"/>
            <w:noWrap w:val="false"/>
          </w:tcPr>
          <w:p>
            <w:pPr>
              <w:jc w:val="both"/>
            </w:pPr>
            <w:r>
              <w:t xml:space="preserve">Пок. 3.3.</w:t>
            </w:r>
            <w:r/>
          </w:p>
        </w:tc>
        <w:tc>
          <w:tcPr>
            <w:shd w:val="clear" w:fill="auto" w:color="auto"/>
            <w:tcW w:w="7099" w:type="dxa"/>
            <w:textDirection w:val="lrTb"/>
            <w:noWrap w:val="false"/>
          </w:tcPr>
          <w:p>
            <w:pPr>
              <w:jc w:val="both"/>
            </w:pPr>
            <w:r>
              <w:t xml:space="preserve">Удовлетворенность качеством условий предоставления услуг для инвалидов</w:t>
            </w:r>
            <w:r/>
          </w:p>
        </w:tc>
      </w:tr>
      <w:tr>
        <w:trPr/>
        <w:tc>
          <w:tcPr>
            <w:shd w:val="clear" w:fill="auto" w:color="auto"/>
            <w:tcW w:w="2677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shd w:val="clear" w:fill="auto" w:color="auto"/>
            <w:tcW w:w="7099" w:type="dxa"/>
            <w:textDirection w:val="lrTb"/>
            <w:noWrap w:val="false"/>
          </w:tcPr>
          <w:p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Рекомендации респондентов:</w:t>
            </w:r>
            <w:r>
              <w:t xml:space="preserve"> </w:t>
            </w:r>
            <w:r>
              <w:t xml:space="preserve">отсутствуют</w:t>
            </w:r>
            <w:r/>
          </w:p>
        </w:tc>
      </w:tr>
      <w:tr>
        <w:trPr/>
        <w:tc>
          <w:tcPr>
            <w:shd w:val="clear" w:fill="DEEAF6" w:color="auto"/>
            <w:tcW w:w="2677" w:type="dxa"/>
            <w:textDirection w:val="lrTb"/>
            <w:noWrap w:val="false"/>
          </w:tcPr>
          <w:p>
            <w:pPr>
              <w:jc w:val="center"/>
            </w:pPr>
            <w:r>
              <w:t xml:space="preserve">Критерий 4</w:t>
            </w:r>
            <w:r/>
          </w:p>
        </w:tc>
        <w:tc>
          <w:tcPr>
            <w:shd w:val="clear" w:fill="DEEAF6" w:color="auto"/>
            <w:tcW w:w="7099" w:type="dxa"/>
            <w:textDirection w:val="lrTb"/>
            <w:noWrap w:val="false"/>
          </w:tcPr>
          <w:p>
            <w:pPr>
              <w:jc w:val="center"/>
            </w:pPr>
            <w:r>
              <w:t xml:space="preserve">Доброжелательность, вежливость работников организации</w:t>
            </w:r>
            <w:r/>
          </w:p>
        </w:tc>
      </w:tr>
      <w:tr>
        <w:trPr/>
        <w:tc>
          <w:tcPr>
            <w:shd w:val="clear" w:fill="auto" w:color="auto"/>
            <w:tcW w:w="2677" w:type="dxa"/>
            <w:textDirection w:val="lrTb"/>
            <w:noWrap w:val="false"/>
          </w:tcPr>
          <w:p>
            <w:pPr>
              <w:jc w:val="both"/>
              <w:rPr>
                <w:highlight w:val="yellow"/>
              </w:rPr>
            </w:pPr>
            <w:r>
              <w:rPr>
                <w:highlight w:val="yellow"/>
              </w:rPr>
            </w:r>
            <w:r/>
          </w:p>
        </w:tc>
        <w:tc>
          <w:tcPr>
            <w:shd w:val="clear" w:fill="auto" w:color="auto"/>
            <w:tcW w:w="7099" w:type="dxa"/>
            <w:textDirection w:val="lrTb"/>
            <w:noWrap w:val="false"/>
          </w:tcPr>
          <w:p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Р</w:t>
            </w:r>
            <w:r>
              <w:rPr>
                <w:u w:val="single"/>
              </w:rPr>
              <w:t xml:space="preserve">екомендации респондентов</w:t>
            </w:r>
            <w:r>
              <w:rPr>
                <w:u w:val="single"/>
              </w:rPr>
              <w:t xml:space="preserve">:</w:t>
            </w:r>
            <w:r>
              <w:t xml:space="preserve"> </w:t>
            </w:r>
            <w:r>
              <w:t xml:space="preserve">отсутствуют</w:t>
            </w:r>
            <w:r>
              <w:t xml:space="preserve">.</w:t>
            </w:r>
            <w:r/>
          </w:p>
        </w:tc>
      </w:tr>
      <w:tr>
        <w:trPr/>
        <w:tc>
          <w:tcPr>
            <w:shd w:val="clear" w:fill="DEEAF6" w:color="auto"/>
            <w:tcW w:w="2677" w:type="dxa"/>
            <w:textDirection w:val="lrTb"/>
            <w:noWrap w:val="false"/>
          </w:tcPr>
          <w:p>
            <w:pPr>
              <w:jc w:val="center"/>
            </w:pPr>
            <w:r>
              <w:t xml:space="preserve">Критерий 5</w:t>
            </w:r>
            <w:r/>
          </w:p>
        </w:tc>
        <w:tc>
          <w:tcPr>
            <w:shd w:val="clear" w:fill="DEEAF6" w:color="auto"/>
            <w:tcW w:w="7099" w:type="dxa"/>
            <w:textDirection w:val="lrTb"/>
            <w:noWrap w:val="false"/>
          </w:tcPr>
          <w:p>
            <w:pPr>
              <w:jc w:val="center"/>
            </w:pPr>
            <w:r>
              <w:t xml:space="preserve">Удовлетворенность условиями оказания услуг</w:t>
            </w:r>
            <w:r/>
          </w:p>
        </w:tc>
      </w:tr>
      <w:tr>
        <w:trPr/>
        <w:tc>
          <w:tcPr>
            <w:shd w:val="clear" w:fill="auto" w:color="auto"/>
            <w:tcW w:w="2677" w:type="dxa"/>
            <w:textDirection w:val="lrTb"/>
            <w:noWrap w:val="false"/>
          </w:tcPr>
          <w:p>
            <w:pPr>
              <w:jc w:val="both"/>
              <w:rPr>
                <w:highlight w:val="yellow"/>
              </w:rPr>
            </w:pPr>
            <w:r>
              <w:rPr>
                <w:highlight w:val="yellow"/>
              </w:rPr>
            </w:r>
            <w:r/>
          </w:p>
        </w:tc>
        <w:tc>
          <w:tcPr>
            <w:shd w:val="clear" w:fill="auto" w:color="auto"/>
            <w:tcW w:w="7099" w:type="dxa"/>
            <w:textDirection w:val="lrTb"/>
            <w:noWrap w:val="false"/>
          </w:tcPr>
          <w:p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Р</w:t>
            </w:r>
            <w:r>
              <w:rPr>
                <w:u w:val="single"/>
              </w:rPr>
              <w:t xml:space="preserve">екомендации респондентов</w:t>
            </w:r>
            <w:r>
              <w:rPr>
                <w:u w:val="single"/>
              </w:rPr>
              <w:t xml:space="preserve">:</w:t>
            </w:r>
            <w:r>
              <w:t xml:space="preserve"> </w:t>
            </w:r>
            <w:r>
              <w:t xml:space="preserve">отсутствуют</w:t>
            </w:r>
            <w:r>
              <w:t xml:space="preserve">.</w:t>
            </w:r>
            <w:r/>
          </w:p>
        </w:tc>
      </w:tr>
    </w:tbl>
    <w:p>
      <w:pPr>
        <w:pStyle w:val="688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Интегральное значение по совокупности общих критериев</w:t>
      </w:r>
      <w:r>
        <w:rPr>
          <w:sz w:val="28"/>
          <w:szCs w:val="28"/>
        </w:rPr>
        <w:t xml:space="preserve">, с учетом значимости</w:t>
      </w:r>
      <w:r>
        <w:rPr>
          <w:sz w:val="28"/>
          <w:szCs w:val="28"/>
        </w:rPr>
        <w:t xml:space="preserve"> показателей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shd w:val="clear" w:fill="FFFFFF" w:themeFill="background1" w:color="auto"/>
        </w:rPr>
        <w:t xml:space="preserve">МБОУ «СОШ с. Новый-Шарой» Ачхой</w:t>
      </w:r>
      <w:r>
        <w:rPr>
          <w:sz w:val="28"/>
          <w:szCs w:val="28"/>
          <w:shd w:val="clear" w:fill="FFFFFF" w:themeFill="background1" w:color="auto"/>
        </w:rPr>
        <w:t xml:space="preserve">-</w:t>
      </w:r>
      <w:r>
        <w:rPr>
          <w:sz w:val="28"/>
          <w:szCs w:val="28"/>
          <w:shd w:val="clear" w:fill="FFFFFF" w:themeFill="background1" w:color="auto"/>
        </w:rPr>
        <w:t xml:space="preserve">Мартановского</w:t>
      </w:r>
      <w:r>
        <w:rPr>
          <w:shd w:val="clear" w:fill="FFFFFF" w:themeFill="background1" w:color="auto"/>
        </w:rPr>
        <w:t xml:space="preserve"> </w:t>
      </w:r>
      <w:r>
        <w:rPr>
          <w:sz w:val="28"/>
          <w:szCs w:val="28"/>
          <w:shd w:val="clear" w:fill="FFFFFF" w:themeFill="background1" w:color="auto"/>
        </w:rPr>
        <w:t xml:space="preserve">муниципального района</w:t>
      </w:r>
      <w:r>
        <w:rPr>
          <w:color w:val="000000"/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составило </w:t>
      </w:r>
      <w:r>
        <w:rPr>
          <w:b/>
          <w:color w:val="000000" w:themeColor="text1"/>
          <w:sz w:val="28"/>
          <w:szCs w:val="28"/>
        </w:rPr>
        <w:t xml:space="preserve">83,54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балл</w:t>
      </w:r>
      <w:r>
        <w:rPr>
          <w:b/>
          <w:color w:val="000000" w:themeColor="text1"/>
          <w:sz w:val="28"/>
          <w:szCs w:val="28"/>
        </w:rPr>
        <w:t xml:space="preserve">а</w:t>
      </w:r>
      <w:r>
        <w:rPr>
          <w:sz w:val="28"/>
          <w:szCs w:val="28"/>
        </w:rPr>
        <w:t xml:space="preserve">. Детализация показателей общих критериев, участвующих в формировании интегрального значения приведена в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риложении №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.</w:t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Сведения, полученные по итогам реализации дистанционного и очного этапов сбора и обобщения информации о качестве условий </w:t>
      </w:r>
      <w:r>
        <w:rPr>
          <w:sz w:val="28"/>
          <w:szCs w:val="28"/>
        </w:rPr>
        <w:t xml:space="preserve">осуществления образовательной деятельности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показателями, характеризующими </w:t>
      </w:r>
      <w:r>
        <w:rPr>
          <w:sz w:val="28"/>
          <w:szCs w:val="28"/>
        </w:rPr>
        <w:t xml:space="preserve">общие критерии оценки качества условий осуществления </w:t>
      </w:r>
      <w:r>
        <w:rPr>
          <w:sz w:val="28"/>
          <w:szCs w:val="28"/>
        </w:rPr>
        <w:t xml:space="preserve">образовательной </w:t>
      </w:r>
      <w:r>
        <w:rPr>
          <w:sz w:val="28"/>
          <w:szCs w:val="28"/>
        </w:rPr>
        <w:t xml:space="preserve">деятельности образовательными организациями, в отношении которых проводится независимая оценка,</w:t>
      </w:r>
      <w:r>
        <w:rPr>
          <w:sz w:val="28"/>
          <w:szCs w:val="28"/>
        </w:rPr>
        <w:t xml:space="preserve"> подлежат передаче в </w:t>
      </w:r>
      <w:r>
        <w:rPr>
          <w:sz w:val="28"/>
          <w:szCs w:val="28"/>
        </w:rPr>
        <w:t xml:space="preserve">Общественный совет при Министерстве образования и науки Чеченской </w:t>
      </w:r>
      <w:r>
        <w:rPr>
          <w:sz w:val="28"/>
          <w:szCs w:val="28"/>
        </w:rPr>
        <w:t xml:space="preserve">Респуб</w:t>
      </w:r>
      <w:r>
        <w:rPr>
          <w:sz w:val="28"/>
          <w:szCs w:val="28"/>
        </w:rPr>
        <w:t xml:space="preserve">лики по проведению независимой оценки качества условий осуществления образовательной деятельности образовательными организациями Чеченской </w:t>
      </w:r>
      <w:r>
        <w:rPr>
          <w:sz w:val="28"/>
          <w:szCs w:val="28"/>
        </w:rPr>
        <w:t xml:space="preserve">Респуб</w:t>
      </w:r>
      <w:r>
        <w:rPr>
          <w:sz w:val="28"/>
          <w:szCs w:val="28"/>
        </w:rPr>
        <w:t xml:space="preserve">лики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принятия решения о присвоении рейтинга организации и формирования плана мероприятий по улучшению качества </w:t>
      </w:r>
      <w:r>
        <w:rPr>
          <w:sz w:val="28"/>
          <w:szCs w:val="28"/>
        </w:rPr>
        <w:t xml:space="preserve">условий </w:t>
      </w:r>
      <w:r>
        <w:rPr>
          <w:sz w:val="28"/>
          <w:szCs w:val="28"/>
        </w:rPr>
        <w:t xml:space="preserve">осуществления образовательной деятельности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образовательной организацией.</w:t>
      </w:r>
      <w:r/>
    </w:p>
    <w:p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Директор СКЦПОА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Е.С. Квасова</w:t>
      </w:r>
      <w:r/>
    </w:p>
    <w:sectPr>
      <w:headerReference w:type="default" r:id="rId9"/>
      <w:footnotePr/>
      <w:endnotePr/>
      <w:type w:val="nextPage"/>
      <w:pgSz w:w="11906" w:h="16838" w:orient="portrait"/>
      <w:pgMar w:top="1135" w:right="566" w:bottom="993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times new roman cyr">
    <w:panose1 w:val="02000500000000020004"/>
  </w:font>
  <w:font w:name="Tahoma">
    <w:panose1 w:val="020B0506030602030204"/>
  </w:font>
  <w:font w:name="SimSun">
    <w:panose1 w:val="02020603020101020101"/>
  </w:font>
  <w:font w:name="Courier New">
    <w:panose1 w:val="02070409020205020404"/>
  </w:font>
  <w:font w:name="Mangal">
    <w:panose1 w:val="02020603050405020304"/>
  </w:font>
  <w:font w:name="Liberation Serif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636723617"/>
      <w:docPartObj>
        <w:docPartGallery w:val="Page Numbers (Top of Page)"/>
        <w:docPartUnique w:val="true"/>
      </w:docPartObj>
      <w:rPr/>
    </w:sdtPr>
    <w:sdtContent>
      <w:p>
        <w:pPr>
          <w:pStyle w:val="68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4</w:t>
        </w:r>
        <w:r>
          <w:fldChar w:fldCharType="end"/>
        </w:r>
        <w:r/>
      </w:p>
    </w:sdtContent>
  </w:sdt>
  <w:p>
    <w:pPr>
      <w:pStyle w:val="684"/>
      <w:tabs>
        <w:tab w:val="clear" w:pos="4677" w:leader="none"/>
        <w:tab w:val="left" w:pos="8264" w:leader="none"/>
        <w:tab w:val="clear" w:pos="9355" w:leader="none"/>
      </w:tabs>
    </w:pPr>
    <w:r>
      <w:tab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styleLink w:val="694"/>
    <w:lvl w:ilvl="0">
      <w:start w:val="1"/>
      <w:numFmt w:val="decimal"/>
      <w:pStyle w:val="694"/>
      <w:isLgl w:val="false"/>
      <w:suff w:val="tab"/>
      <w:lvlText w:val="%1."/>
      <w:lvlJc w:val="left"/>
      <w:pPr>
        <w:ind w:left="114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6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8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0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2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74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6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8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06" w:hanging="180"/>
      </w:pPr>
    </w:lvl>
  </w:abstractNum>
  <w:abstractNum w:abstractNumId="1">
    <w:multiLevelType w:val="hybridMultilevel"/>
    <w:lvl w:ilvl="0">
      <w:start w:val="1"/>
      <w:numFmt w:val="decimal"/>
      <w:pStyle w:val="702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1848" w:hanging="432"/>
        <w:tabs>
          <w:tab w:val="num" w:pos="1848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1992" w:hanging="576"/>
        <w:tabs>
          <w:tab w:val="num" w:pos="1992" w:leader="none"/>
        </w:tabs>
      </w:pPr>
    </w:lvl>
    <w:lvl w:ilvl="2">
      <w:start w:val="1"/>
      <w:numFmt w:val="none"/>
      <w:pStyle w:val="692"/>
      <w:isLgl w:val="false"/>
      <w:suff w:val="nothing"/>
      <w:lvlText w:val=""/>
      <w:lvlJc w:val="left"/>
      <w:pPr>
        <w:ind w:left="2136" w:hanging="720"/>
      </w:pPr>
    </w:lvl>
    <w:lvl w:ilvl="3">
      <w:start w:val="1"/>
      <w:numFmt w:val="none"/>
      <w:pStyle w:val="693"/>
      <w:isLgl w:val="false"/>
      <w:suff w:val="nothing"/>
      <w:lvlText w:val=""/>
      <w:lvlJc w:val="left"/>
      <w:pPr>
        <w:ind w:left="2280" w:hanging="864"/>
      </w:pPr>
    </w:lvl>
    <w:lvl w:ilvl="4">
      <w:start w:val="1"/>
      <w:numFmt w:val="none"/>
      <w:isLgl w:val="false"/>
      <w:suff w:val="nothing"/>
      <w:lvlText w:val=""/>
      <w:lvlJc w:val="left"/>
      <w:pPr>
        <w:ind w:left="2424" w:hanging="1008"/>
        <w:tabs>
          <w:tab w:val="num" w:pos="2424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2568" w:hanging="1152"/>
        <w:tabs>
          <w:tab w:val="num" w:pos="2568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2712" w:hanging="1296"/>
        <w:tabs>
          <w:tab w:val="num" w:pos="2712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2856" w:hanging="1440"/>
        <w:tabs>
          <w:tab w:val="num" w:pos="2856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3000" w:hanging="1584"/>
        <w:tabs>
          <w:tab w:val="num" w:pos="300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72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7"/>
  </w:num>
  <w:num w:numId="6">
    <w:abstractNumId w:val="9"/>
  </w:num>
  <w:num w:numId="7">
    <w:abstractNumId w:val="6"/>
  </w:num>
  <w:num w:numId="8">
    <w:abstractNumId w:val="4"/>
  </w:num>
  <w:num w:numId="9">
    <w:abstractNumId w:val="8"/>
  </w:num>
  <w:num w:numId="10">
    <w:abstractNumId w:val="3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n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59" w:after="16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678"/>
    <w:next w:val="67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680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678"/>
    <w:next w:val="67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680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678"/>
    <w:next w:val="67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680"/>
    <w:link w:val="15"/>
    <w:uiPriority w:val="9"/>
    <w:rPr>
      <w:rFonts w:ascii="Arial" w:hAnsi="Arial" w:cs="Arial" w:eastAsia="Arial"/>
      <w:sz w:val="30"/>
      <w:szCs w:val="30"/>
    </w:rPr>
  </w:style>
  <w:style w:type="character" w:styleId="18">
    <w:name w:val="Heading 4 Char"/>
    <w:basedOn w:val="680"/>
    <w:link w:val="679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678"/>
    <w:next w:val="67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680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678"/>
    <w:next w:val="67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680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78"/>
    <w:next w:val="67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680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78"/>
    <w:next w:val="67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680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78"/>
    <w:next w:val="67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680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678"/>
    <w:next w:val="67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680"/>
    <w:link w:val="32"/>
    <w:uiPriority w:val="10"/>
    <w:rPr>
      <w:sz w:val="48"/>
      <w:szCs w:val="48"/>
    </w:rPr>
  </w:style>
  <w:style w:type="paragraph" w:styleId="34">
    <w:name w:val="Subtitle"/>
    <w:basedOn w:val="678"/>
    <w:next w:val="67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680"/>
    <w:link w:val="34"/>
    <w:uiPriority w:val="11"/>
    <w:rPr>
      <w:sz w:val="24"/>
      <w:szCs w:val="24"/>
    </w:rPr>
  </w:style>
  <w:style w:type="paragraph" w:styleId="36">
    <w:name w:val="Quote"/>
    <w:basedOn w:val="678"/>
    <w:next w:val="67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78"/>
    <w:next w:val="678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character" w:styleId="41">
    <w:name w:val="Header Char"/>
    <w:basedOn w:val="680"/>
    <w:link w:val="684"/>
    <w:uiPriority w:val="99"/>
  </w:style>
  <w:style w:type="character" w:styleId="43">
    <w:name w:val="Footer Char"/>
    <w:basedOn w:val="680"/>
    <w:link w:val="686"/>
    <w:uiPriority w:val="99"/>
  </w:style>
  <w:style w:type="paragraph" w:styleId="44">
    <w:name w:val="Caption"/>
    <w:basedOn w:val="678"/>
    <w:next w:val="67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686"/>
    <w:uiPriority w:val="99"/>
  </w:style>
  <w:style w:type="table" w:styleId="47">
    <w:name w:val="Table Grid Light"/>
    <w:basedOn w:val="68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68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681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68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68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68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68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68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68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68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text1" w:themeTint="40"/>
    </w:tblPr>
    <w:tblStylePr w:type="band1Horz">
      <w:tcPr>
        <w:shd w:val="clear" w:color="FFFFFF" w:themeColor="text1" w:themeTint="75"/>
      </w:tcPr>
    </w:tblStylePr>
    <w:tblStylePr w:type="band1Vert">
      <w:tcPr>
        <w:shd w:val="clear" w:color="FFFFFF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1" w:themeTint="34"/>
    </w:tblPr>
    <w:tblStylePr w:type="band1Horz">
      <w:tcPr>
        <w:shd w:val="clear" w:color="FFFFFF" w:themeColor="accent1" w:themeTint="75"/>
      </w:tcPr>
    </w:tblStylePr>
    <w:tblStylePr w:type="band1Vert">
      <w:tcPr>
        <w:shd w:val="clear" w:color="FFFFFF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2" w:themeTint="32"/>
    </w:tblPr>
    <w:tblStylePr w:type="band1Horz">
      <w:tcPr>
        <w:shd w:val="clear" w:color="FFFFFF" w:themeColor="accent2" w:themeTint="75"/>
      </w:tcPr>
    </w:tblStylePr>
    <w:tblStylePr w:type="band1Vert">
      <w:tcPr>
        <w:shd w:val="clear" w:color="FFFFFF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3" w:themeTint="34"/>
    </w:tblPr>
    <w:tblStylePr w:type="band1Horz">
      <w:tcPr>
        <w:shd w:val="clear" w:color="FFFFFF" w:themeColor="accent3" w:themeTint="75"/>
      </w:tcPr>
    </w:tblStylePr>
    <w:tblStylePr w:type="band1Vert">
      <w:tcPr>
        <w:shd w:val="clear" w:color="FFFFFF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4" w:themeTint="34"/>
    </w:tblPr>
    <w:tblStylePr w:type="band1Horz">
      <w:tcPr>
        <w:shd w:val="clear" w:color="FFFFFF" w:themeColor="accent4" w:themeTint="75"/>
      </w:tcPr>
    </w:tblStylePr>
    <w:tblStylePr w:type="band1Vert">
      <w:tcPr>
        <w:shd w:val="clear" w:color="FFFFFF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5" w:themeTint="34"/>
    </w:tblPr>
    <w:tblStylePr w:type="band1Horz">
      <w:tcPr>
        <w:shd w:val="clear" w:color="FFFFFF" w:themeColor="accent5" w:themeTint="75"/>
      </w:tcPr>
    </w:tblStylePr>
    <w:tblStylePr w:type="band1Vert">
      <w:tcPr>
        <w:shd w:val="clear" w:color="FFFFFF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6" w:themeTint="34"/>
    </w:tblPr>
    <w:tblStylePr w:type="band1Horz">
      <w:tcPr>
        <w:shd w:val="clear" w:color="FFFFFF" w:themeColor="accent6" w:themeTint="75"/>
      </w:tcPr>
    </w:tblStylePr>
    <w:tblStylePr w:type="band1Vert">
      <w:tcPr>
        <w:shd w:val="clear" w:color="FFFFFF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/>
      </w:tcPr>
    </w:tblStylePr>
    <w:tblStylePr w:type="band1Vert">
      <w:tcPr>
        <w:shd w:val="clear" w:color="FFFFFF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Color="text1" w:themeTint="80"/>
    </w:tblPr>
    <w:tblStylePr w:type="band1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Color="accent1"/>
    </w:tblPr>
    <w:tblStylePr w:type="band1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Color="accent2" w:themeTint="97"/>
    </w:tblPr>
    <w:tblStylePr w:type="band1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Color="accent3" w:themeTint="98"/>
    </w:tblPr>
    <w:tblStylePr w:type="band1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Color="accent4" w:themeTint="9A"/>
    </w:tblPr>
    <w:tblStylePr w:type="band1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Color="accent5" w:themeTint="9A"/>
    </w:tblPr>
    <w:tblStylePr w:type="band1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Color="accent6" w:themeTint="98"/>
    </w:tblPr>
    <w:tblStylePr w:type="band1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68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152">
    <w:name w:val="Lined - Accent 1"/>
    <w:basedOn w:val="68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153">
    <w:name w:val="Lined - Accent 2"/>
    <w:basedOn w:val="68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154">
    <w:name w:val="Lined - Accent 3"/>
    <w:basedOn w:val="68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155">
    <w:name w:val="Lined - Accent 4"/>
    <w:basedOn w:val="68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156">
    <w:name w:val="Lined - Accent 5"/>
    <w:basedOn w:val="68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157">
    <w:name w:val="Lined - Accent 6"/>
    <w:basedOn w:val="68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158">
    <w:name w:val="Bordered &amp; Lined - Accent"/>
    <w:basedOn w:val="68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159">
    <w:name w:val="Bordered &amp; Lined - Accent 1"/>
    <w:basedOn w:val="68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160">
    <w:name w:val="Bordered &amp; Lined - Accent 2"/>
    <w:basedOn w:val="68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161">
    <w:name w:val="Bordered &amp; Lined - Accent 3"/>
    <w:basedOn w:val="68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162">
    <w:name w:val="Bordered &amp; Lined - Accent 4"/>
    <w:basedOn w:val="68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163">
    <w:name w:val="Bordered &amp; Lined - Accent 5"/>
    <w:basedOn w:val="68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164">
    <w:name w:val="Bordered &amp; Lined - Accent 6"/>
    <w:basedOn w:val="68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165">
    <w:name w:val="Bordered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6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173">
    <w:name w:val="footnote text"/>
    <w:basedOn w:val="67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680"/>
    <w:uiPriority w:val="99"/>
    <w:unhideWhenUsed/>
    <w:rPr>
      <w:vertAlign w:val="superscript"/>
    </w:rPr>
  </w:style>
  <w:style w:type="paragraph" w:styleId="176">
    <w:name w:val="endnote text"/>
    <w:basedOn w:val="67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680"/>
    <w:uiPriority w:val="99"/>
    <w:semiHidden/>
    <w:unhideWhenUsed/>
    <w:rPr>
      <w:vertAlign w:val="superscript"/>
    </w:rPr>
  </w:style>
  <w:style w:type="paragraph" w:styleId="179">
    <w:name w:val="toc 1"/>
    <w:basedOn w:val="678"/>
    <w:next w:val="67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78"/>
    <w:next w:val="67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78"/>
    <w:next w:val="67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78"/>
    <w:next w:val="67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78"/>
    <w:next w:val="67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78"/>
    <w:next w:val="67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78"/>
    <w:next w:val="67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78"/>
    <w:next w:val="67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78"/>
    <w:next w:val="67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78"/>
    <w:next w:val="678"/>
    <w:uiPriority w:val="99"/>
    <w:unhideWhenUsed/>
    <w:pPr>
      <w:spacing w:after="0" w:afterAutospacing="0"/>
    </w:pPr>
  </w:style>
  <w:style w:type="paragraph" w:styleId="678" w:default="1">
    <w:name w:val="Normal"/>
    <w:qFormat/>
    <w:rPr>
      <w:rFonts w:ascii="Times New Roman" w:hAnsi="Times New Roman" w:cs="Times New Roman" w:eastAsia="Times New Roman"/>
      <w:sz w:val="24"/>
      <w:szCs w:val="24"/>
      <w:lang w:eastAsia="ru-RU"/>
    </w:rPr>
    <w:pPr>
      <w:spacing w:lineRule="auto" w:line="240" w:after="0"/>
    </w:pPr>
  </w:style>
  <w:style w:type="paragraph" w:styleId="679">
    <w:name w:val="Heading 4"/>
    <w:basedOn w:val="678"/>
    <w:link w:val="698"/>
    <w:qFormat/>
    <w:uiPriority w:val="9"/>
    <w:rPr>
      <w:b/>
      <w:bCs/>
    </w:rPr>
    <w:pPr>
      <w:spacing w:after="100" w:afterAutospacing="1" w:before="100" w:beforeAutospacing="1"/>
      <w:outlineLvl w:val="3"/>
    </w:pPr>
  </w:style>
  <w:style w:type="character" w:styleId="680" w:default="1">
    <w:name w:val="Default Paragraph Font"/>
    <w:uiPriority w:val="1"/>
    <w:semiHidden/>
    <w:unhideWhenUsed/>
  </w:style>
  <w:style w:type="table" w:styleId="68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2" w:default="1">
    <w:name w:val="No List"/>
    <w:uiPriority w:val="99"/>
    <w:semiHidden/>
    <w:unhideWhenUsed/>
  </w:style>
  <w:style w:type="table" w:styleId="683">
    <w:name w:val="Table Grid"/>
    <w:basedOn w:val="681"/>
    <w:uiPriority w:val="39"/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paragraph" w:styleId="684">
    <w:name w:val="Header"/>
    <w:basedOn w:val="678"/>
    <w:link w:val="68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85" w:customStyle="1">
    <w:name w:val="Верхний колонтитул Знак"/>
    <w:basedOn w:val="680"/>
    <w:link w:val="684"/>
    <w:uiPriority w:val="99"/>
  </w:style>
  <w:style w:type="paragraph" w:styleId="686">
    <w:name w:val="Footer"/>
    <w:basedOn w:val="678"/>
    <w:link w:val="68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87" w:customStyle="1">
    <w:name w:val="Нижний колонтитул Знак"/>
    <w:basedOn w:val="680"/>
    <w:link w:val="686"/>
    <w:uiPriority w:val="99"/>
  </w:style>
  <w:style w:type="paragraph" w:styleId="688">
    <w:name w:val="List Paragraph"/>
    <w:basedOn w:val="678"/>
    <w:qFormat/>
    <w:uiPriority w:val="34"/>
    <w:pPr>
      <w:contextualSpacing w:val="true"/>
      <w:ind w:left="720"/>
    </w:pPr>
  </w:style>
  <w:style w:type="paragraph" w:styleId="689" w:customStyle="1">
    <w:name w:val="ConsPlusTitle"/>
    <w:qFormat/>
    <w:uiPriority w:val="99"/>
    <w:rPr>
      <w:rFonts w:ascii="Arial" w:hAnsi="Arial" w:cs="Arial" w:eastAsia="Times New Roman"/>
      <w:b/>
      <w:bCs/>
      <w:sz w:val="24"/>
      <w:szCs w:val="20"/>
      <w:lang w:eastAsia="zh-CN"/>
    </w:rPr>
    <w:pPr>
      <w:spacing w:lineRule="auto" w:line="240" w:after="0"/>
      <w:widowControl w:val="off"/>
    </w:pPr>
  </w:style>
  <w:style w:type="character" w:styleId="690">
    <w:name w:val="Hyperlink"/>
    <w:basedOn w:val="680"/>
    <w:uiPriority w:val="99"/>
    <w:unhideWhenUsed/>
    <w:rPr>
      <w:color w:val="0563C1" w:themeColor="hyperlink"/>
      <w:u w:val="single"/>
    </w:rPr>
  </w:style>
  <w:style w:type="paragraph" w:styleId="691" w:customStyle="1">
    <w:name w:val="ConsPlusNormal"/>
    <w:qFormat/>
    <w:rPr>
      <w:rFonts w:ascii="Times New Roman" w:hAnsi="Times New Roman" w:cs="Times New Roman" w:eastAsia="Times New Roman"/>
      <w:sz w:val="24"/>
      <w:szCs w:val="24"/>
      <w:lang w:eastAsia="ru-RU"/>
    </w:rPr>
    <w:pPr>
      <w:spacing w:lineRule="auto" w:line="240" w:after="0"/>
      <w:widowControl w:val="off"/>
    </w:pPr>
  </w:style>
  <w:style w:type="paragraph" w:styleId="692" w:customStyle="1">
    <w:name w:val="Заголовок 31"/>
    <w:basedOn w:val="678"/>
    <w:qFormat/>
    <w:rPr>
      <w:rFonts w:ascii="Arial" w:hAnsi="Arial" w:cs="Arial"/>
      <w:b/>
      <w:bCs/>
      <w:lang w:eastAsia="zh-CN"/>
    </w:rPr>
    <w:pPr>
      <w:numPr>
        <w:ilvl w:val="2"/>
        <w:numId w:val="1"/>
      </w:numPr>
      <w:ind w:left="142" w:firstLine="0"/>
      <w:jc w:val="both"/>
      <w:keepNext/>
      <w:spacing w:after="60" w:before="240"/>
      <w:tabs>
        <w:tab w:val="left" w:pos="312" w:leader="none"/>
      </w:tabs>
      <w:outlineLvl w:val="2"/>
    </w:pPr>
  </w:style>
  <w:style w:type="paragraph" w:styleId="693" w:customStyle="1">
    <w:name w:val="Заголовок 41"/>
    <w:basedOn w:val="678"/>
    <w:qFormat/>
    <w:rPr>
      <w:rFonts w:ascii="Liberation Serif" w:hAnsi="Liberation Serif" w:cs="Mangal" w:eastAsia="SimSun"/>
      <w:b/>
      <w:bCs/>
      <w:lang w:eastAsia="zh-CN"/>
    </w:rPr>
    <w:pPr>
      <w:numPr>
        <w:ilvl w:val="3"/>
        <w:numId w:val="1"/>
      </w:numPr>
      <w:keepNext/>
      <w:spacing w:after="120" w:before="120"/>
      <w:outlineLvl w:val="3"/>
    </w:pPr>
  </w:style>
  <w:style w:type="numbering" w:styleId="694" w:customStyle="1">
    <w:name w:val="Стиль61"/>
    <w:uiPriority w:val="99"/>
    <w:pPr>
      <w:numPr>
        <w:numId w:val="2"/>
      </w:numPr>
    </w:pPr>
  </w:style>
  <w:style w:type="paragraph" w:styleId="695">
    <w:name w:val="Balloon Text"/>
    <w:basedOn w:val="678"/>
    <w:link w:val="696"/>
    <w:uiPriority w:val="99"/>
    <w:semiHidden/>
    <w:unhideWhenUsed/>
    <w:rPr>
      <w:rFonts w:ascii="Tahoma" w:hAnsi="Tahoma" w:cs="Tahoma"/>
      <w:sz w:val="16"/>
      <w:szCs w:val="16"/>
    </w:rPr>
  </w:style>
  <w:style w:type="character" w:styleId="696" w:customStyle="1">
    <w:name w:val="Текст выноски Знак"/>
    <w:basedOn w:val="680"/>
    <w:link w:val="695"/>
    <w:uiPriority w:val="99"/>
    <w:semiHidden/>
    <w:rPr>
      <w:rFonts w:ascii="Tahoma" w:hAnsi="Tahoma" w:cs="Tahoma"/>
      <w:sz w:val="16"/>
      <w:szCs w:val="16"/>
    </w:rPr>
  </w:style>
  <w:style w:type="character" w:styleId="697" w:customStyle="1">
    <w:name w:val="WW8Num1z3"/>
    <w:qFormat/>
  </w:style>
  <w:style w:type="character" w:styleId="698" w:customStyle="1">
    <w:name w:val="Заголовок 4 Знак"/>
    <w:basedOn w:val="680"/>
    <w:link w:val="679"/>
    <w:uiPriority w:val="9"/>
    <w:rPr>
      <w:rFonts w:ascii="Times New Roman" w:hAnsi="Times New Roman" w:cs="Times New Roman" w:eastAsia="Times New Roman"/>
      <w:b/>
      <w:bCs/>
      <w:sz w:val="24"/>
      <w:szCs w:val="24"/>
      <w:lang w:eastAsia="ru-RU"/>
    </w:rPr>
  </w:style>
  <w:style w:type="character" w:styleId="699">
    <w:name w:val="Strong"/>
    <w:basedOn w:val="680"/>
    <w:qFormat/>
    <w:uiPriority w:val="22"/>
    <w:rPr>
      <w:b/>
      <w:bCs/>
    </w:rPr>
  </w:style>
  <w:style w:type="paragraph" w:styleId="700">
    <w:name w:val="Normal (Web)"/>
    <w:basedOn w:val="678"/>
    <w:uiPriority w:val="99"/>
    <w:semiHidden/>
    <w:unhideWhenUsed/>
    <w:pPr>
      <w:spacing w:after="100" w:afterAutospacing="1" w:before="100" w:beforeAutospacing="1"/>
    </w:pPr>
  </w:style>
  <w:style w:type="character" w:styleId="701">
    <w:name w:val="Emphasis"/>
    <w:basedOn w:val="680"/>
    <w:qFormat/>
    <w:uiPriority w:val="20"/>
    <w:rPr>
      <w:i/>
      <w:iCs/>
    </w:rPr>
  </w:style>
  <w:style w:type="paragraph" w:styleId="702" w:customStyle="1">
    <w:name w:val="Цветной список - Акцент 11"/>
    <w:basedOn w:val="678"/>
    <w:qFormat/>
    <w:rPr>
      <w:rFonts w:ascii="Times New Roman CYR" w:hAnsi="Times New Roman CYR"/>
    </w:rPr>
    <w:pPr>
      <w:numPr>
        <w:numId w:val="4"/>
      </w:numPr>
      <w:jc w:val="both"/>
      <w:spacing w:after="60" w:before="120"/>
      <w:widowControl w:val="off"/>
      <w:tabs>
        <w:tab w:val="left" w:pos="993" w:leader="none"/>
      </w:tabs>
    </w:pPr>
  </w:style>
  <w:style w:type="character" w:styleId="703" w:customStyle="1">
    <w:name w:val="val"/>
    <w:basedOn w:val="680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customXml" Target="../customXml/item2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A79C7AA2-8378-4550-8F73-A3E9D410D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R7-Office/6.3.1.43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Екатерина Квасова</cp:lastModifiedBy>
  <cp:revision>7</cp:revision>
  <dcterms:created xsi:type="dcterms:W3CDTF">2021-12-22T12:53:00Z</dcterms:created>
  <dcterms:modified xsi:type="dcterms:W3CDTF">2022-01-01T18:02:29Z</dcterms:modified>
</cp:coreProperties>
</file>